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082AC" w14:textId="77777777" w:rsidR="00BE1449" w:rsidRDefault="00A0127B">
      <w:pPr>
        <w:pStyle w:val="berschrift"/>
      </w:pPr>
      <w:r>
        <w:t>Sehr geehrte Mandantin,</w:t>
      </w:r>
      <w:r>
        <w:br/>
        <w:t>sehr geehrter Mandant,</w:t>
      </w:r>
    </w:p>
    <w:p w14:paraId="16175BCB" w14:textId="7CE59C41" w:rsidR="00A17D84" w:rsidRPr="00912D64" w:rsidRDefault="00A17D84" w:rsidP="00A17D84">
      <w:pPr>
        <w:spacing w:after="140"/>
      </w:pPr>
      <w:r>
        <w:t>d</w:t>
      </w:r>
      <w:r w:rsidRPr="00912D64">
        <w:t xml:space="preserve">ie Einnahmen der UEFA </w:t>
      </w:r>
      <w:r>
        <w:t xml:space="preserve">aus der </w:t>
      </w:r>
      <w:r w:rsidRPr="00912D64">
        <w:rPr>
          <w:b/>
          <w:bCs/>
        </w:rPr>
        <w:t>Fußball-EM</w:t>
      </w:r>
      <w:r>
        <w:t xml:space="preserve"> </w:t>
      </w:r>
      <w:r w:rsidRPr="00912D64">
        <w:t xml:space="preserve">werden größtenteils </w:t>
      </w:r>
      <w:r w:rsidRPr="00912D64">
        <w:rPr>
          <w:b/>
          <w:bCs/>
        </w:rPr>
        <w:t>steuerfrei</w:t>
      </w:r>
      <w:r w:rsidRPr="00912D64">
        <w:t xml:space="preserve"> belassen, wobei über die exakte Höhe von Regierungsseite geschwiegen wird.</w:t>
      </w:r>
      <w:r>
        <w:t xml:space="preserve"> Unsere EM-Nachlese stellt Ihnen einige Zahlen vor. Darüber hinaus beleuchten wir, worauf </w:t>
      </w:r>
      <w:r w:rsidR="00CA3F49">
        <w:t xml:space="preserve">Sie </w:t>
      </w:r>
      <w:r>
        <w:t xml:space="preserve">sich nach dem </w:t>
      </w:r>
      <w:r w:rsidRPr="00A52D89">
        <w:rPr>
          <w:b/>
          <w:bCs/>
        </w:rPr>
        <w:t>Postrechtsmodernisierungsgesetz</w:t>
      </w:r>
      <w:r w:rsidRPr="00897B67">
        <w:t xml:space="preserve"> einstellen müssen.</w:t>
      </w:r>
      <w:r>
        <w:t xml:space="preserve"> Der </w:t>
      </w:r>
      <w:r w:rsidRPr="00912D64">
        <w:rPr>
          <w:b/>
          <w:bCs/>
        </w:rPr>
        <w:t>Steuertipp</w:t>
      </w:r>
      <w:r>
        <w:t xml:space="preserve"> ist der </w:t>
      </w:r>
      <w:r w:rsidRPr="00912D64">
        <w:t xml:space="preserve">Einführung der </w:t>
      </w:r>
      <w:r w:rsidRPr="00912D64">
        <w:rPr>
          <w:b/>
          <w:bCs/>
        </w:rPr>
        <w:t>Pflicht zur elektronischen Rechnung</w:t>
      </w:r>
      <w:r>
        <w:t xml:space="preserve"> gewidmet.</w:t>
      </w:r>
    </w:p>
    <w:p w14:paraId="1929260F" w14:textId="77777777" w:rsidR="00A17D84" w:rsidRDefault="00A17D84" w:rsidP="00A17D84">
      <w:pPr>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5AA5C079" w14:textId="77777777" w:rsidR="00A17D84" w:rsidRPr="00912D64" w:rsidRDefault="00A17D84" w:rsidP="00A17D84">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76532572"/>
      <w:r w:rsidRPr="00912D64">
        <w:rPr>
          <w:b/>
          <w:bCs/>
        </w:rPr>
        <w:t>EM-Nachlese:</w:t>
      </w:r>
      <w:r>
        <w:t xml:space="preserve"> Steuergarantien und </w:t>
      </w:r>
      <w:r>
        <w:br/>
        <w:t>-geheimnisse bei UEFA-Preisgeldern</w:t>
      </w:r>
      <w:r>
        <w:tab/>
        <w:t>1</w:t>
      </w:r>
    </w:p>
    <w:p w14:paraId="23D5D68C" w14:textId="11B2447A" w:rsidR="00A17D84" w:rsidRDefault="00A17D84" w:rsidP="00A17D84">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Wettbewerbsrecht:</w:t>
      </w:r>
      <w:r w:rsidRPr="009341CE">
        <w:rPr>
          <w:bCs/>
        </w:rPr>
        <w:t xml:space="preserve"> </w:t>
      </w:r>
      <w:r w:rsidRPr="004932CC">
        <w:t xml:space="preserve">Was unter einer </w:t>
      </w:r>
      <w:r>
        <w:br/>
      </w:r>
      <w:r w:rsidRPr="004932CC">
        <w:t>„geschäftlichen Handlung“ zu verstehen ist</w:t>
      </w:r>
      <w:r>
        <w:tab/>
      </w:r>
      <w:r w:rsidR="00A90B8A">
        <w:t>2</w:t>
      </w:r>
    </w:p>
    <w:p w14:paraId="68071E3E" w14:textId="4FBC8A09" w:rsidR="00A90B8A" w:rsidRDefault="00A90B8A" w:rsidP="00A90B8A">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Konkurrentenklage:</w:t>
      </w:r>
      <w:r>
        <w:t xml:space="preserve"> Welche Voraussetzungen </w:t>
      </w:r>
      <w:r>
        <w:br/>
        <w:t>für eine Akteneinsicht erfüllt sein müssen</w:t>
      </w:r>
      <w:r>
        <w:tab/>
        <w:t>2</w:t>
      </w:r>
    </w:p>
    <w:p w14:paraId="4CAD70BE" w14:textId="3840A7C7" w:rsidR="00A90B8A" w:rsidRDefault="00A90B8A" w:rsidP="00A90B8A">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Umsatzsteuer:</w:t>
      </w:r>
      <w:r>
        <w:t xml:space="preserve"> Wann führt ein Verein eine </w:t>
      </w:r>
      <w:r>
        <w:br/>
        <w:t>gegen Entgelt erbrachte Dienstleistung aus?</w:t>
      </w:r>
      <w:r>
        <w:tab/>
        <w:t>3</w:t>
      </w:r>
    </w:p>
    <w:p w14:paraId="6A7BF27E" w14:textId="4DEF079C" w:rsidR="00A90B8A" w:rsidRDefault="00A90B8A" w:rsidP="00A90B8A">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Abgabepflicht:</w:t>
      </w:r>
      <w:r>
        <w:t xml:space="preserve"> Der Abgabesatz zur Künstler-</w:t>
      </w:r>
      <w:r>
        <w:br/>
      </w:r>
      <w:proofErr w:type="spellStart"/>
      <w:r>
        <w:t>sozialversicherung</w:t>
      </w:r>
      <w:proofErr w:type="spellEnd"/>
      <w:r>
        <w:t xml:space="preserve"> bleibt auch 2025 stabil</w:t>
      </w:r>
      <w:r>
        <w:tab/>
        <w:t>3</w:t>
      </w:r>
    </w:p>
    <w:p w14:paraId="56DB4488" w14:textId="3A863B36" w:rsidR="00A90B8A" w:rsidRDefault="00A90B8A" w:rsidP="00A90B8A">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A52D89">
        <w:rPr>
          <w:b/>
          <w:bCs/>
        </w:rPr>
        <w:t>Ladungsfristen:</w:t>
      </w:r>
      <w:r>
        <w:t xml:space="preserve"> </w:t>
      </w:r>
      <w:r w:rsidRPr="00A52D89">
        <w:t xml:space="preserve">Laufzeitvorgaben für Briefe </w:t>
      </w:r>
      <w:r>
        <w:br/>
      </w:r>
      <w:r w:rsidRPr="00A52D89">
        <w:t xml:space="preserve">verlängern sich </w:t>
      </w:r>
      <w:r>
        <w:t xml:space="preserve">ab 2025 </w:t>
      </w:r>
      <w:r w:rsidRPr="00A52D89">
        <w:t>um einen Tag</w:t>
      </w:r>
      <w:r>
        <w:tab/>
        <w:t>3</w:t>
      </w:r>
    </w:p>
    <w:p w14:paraId="5D94849C" w14:textId="1C655D5B" w:rsidR="00A17D84" w:rsidRDefault="00A17D84" w:rsidP="00A17D84">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Reitlehrerin:</w:t>
      </w:r>
      <w:r>
        <w:t xml:space="preserve"> Wann eine </w:t>
      </w:r>
      <w:r w:rsidRPr="00912D64">
        <w:t xml:space="preserve">Beitragsnachforderung </w:t>
      </w:r>
      <w:r>
        <w:br/>
      </w:r>
      <w:r w:rsidRPr="00912D64">
        <w:t xml:space="preserve">zur Sozialversicherung </w:t>
      </w:r>
      <w:r>
        <w:t>droht</w:t>
      </w:r>
      <w:r>
        <w:tab/>
      </w:r>
      <w:r w:rsidR="00A90B8A">
        <w:t>4</w:t>
      </w:r>
    </w:p>
    <w:p w14:paraId="19341650" w14:textId="77777777" w:rsidR="00A17D84" w:rsidRDefault="00A17D84" w:rsidP="00A17D84">
      <w:pPr>
        <w:pStyle w:val="Verzeichnis1"/>
        <w:framePr w:w="4332" w:wrap="around" w:vAnchor="page" w:hAnchor="page" w:x="6414" w:y="1199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E</w:t>
      </w:r>
      <w:r w:rsidRPr="00006922">
        <w:t>lektronische Rechnung</w:t>
      </w:r>
      <w:r>
        <w:t xml:space="preserve"> wird Pflicht</w:t>
      </w:r>
      <w:r>
        <w:tab/>
      </w:r>
      <w:bookmarkEnd w:id="0"/>
      <w:r>
        <w:t>4</w:t>
      </w:r>
    </w:p>
    <w:p w14:paraId="7E48AEAF" w14:textId="77777777" w:rsidR="00A17D84" w:rsidRDefault="00A17D84" w:rsidP="00A17D84">
      <w:pPr>
        <w:pStyle w:val="berschrift2"/>
        <w:spacing w:before="360"/>
      </w:pPr>
      <w:r>
        <w:t>EM-Nachlese</w:t>
      </w:r>
      <w:r>
        <w:tab/>
      </w:r>
    </w:p>
    <w:p w14:paraId="4562758C" w14:textId="77777777" w:rsidR="00A17D84" w:rsidRDefault="00A17D84" w:rsidP="00A17D84">
      <w:pPr>
        <w:pStyle w:val="berschrift1"/>
      </w:pPr>
      <w:r>
        <w:t>Steuergarantien und -geheimnisse bei UEFA-Preisgeldern</w:t>
      </w:r>
    </w:p>
    <w:p w14:paraId="6D444D01" w14:textId="20B6FA6A" w:rsidR="00A17D84" w:rsidRDefault="00A17D84" w:rsidP="00A17D84">
      <w:pPr>
        <w:spacing w:after="140"/>
      </w:pPr>
      <w:r>
        <w:t xml:space="preserve">Bei </w:t>
      </w:r>
      <w:r w:rsidRPr="009341CE">
        <w:t>der Fußball-E</w:t>
      </w:r>
      <w:r>
        <w:t>M</w:t>
      </w:r>
      <w:r w:rsidRPr="009341CE">
        <w:t xml:space="preserve"> 2024 in Deutschland haben die Nationalmannschaften um </w:t>
      </w:r>
      <w:r w:rsidRPr="00897B67">
        <w:rPr>
          <w:b/>
          <w:bCs/>
        </w:rPr>
        <w:t>Preisgelder</w:t>
      </w:r>
      <w:r w:rsidRPr="009341CE">
        <w:t xml:space="preserve"> in Höhe von insgesamt 331 Mio. € gespielt</w:t>
      </w:r>
      <w:r>
        <w:t>. Für die Veranstalter UEFA und DFB ist das Turnier ein großer wirtschaftlicher Erfolg. Erwartet wurde ein Gewinn von 1,7 Mrd. €. An Steuern sollen davon 65 Mio. €, also gerade einmal 3,8 % des Gewinns bzw. 10 % der Ausgaben zurück nach Deutschland fließen.</w:t>
      </w:r>
    </w:p>
    <w:p w14:paraId="704B14B3" w14:textId="0816775F" w:rsidR="00A17D84" w:rsidRDefault="00A17D84" w:rsidP="00A17D84">
      <w:pPr>
        <w:spacing w:after="140"/>
      </w:pPr>
      <w:r>
        <w:t xml:space="preserve">Als </w:t>
      </w:r>
      <w:r>
        <w:rPr>
          <w:b/>
        </w:rPr>
        <w:t>Antrittsprämie</w:t>
      </w:r>
      <w:r>
        <w:t xml:space="preserve"> gab es für die 24 qualifizierten Nationalteams jeweils 9,25 Mio. € von der UEFA. Dazu erhielt jede Mannschaft für jeden Sieg 1 Mio. € bzw. 500.000 € für jedes Unentschieden bei den Gruppenspielen. Die 16 Teams, die das Achtelfinale erreichten, erhielten jeweils 1,5 Mio. €. Das Viertelfinale brachte 2,5 Mio. € ein und für den Einzug ins Halbfinale gab es 4 Mio. €. Der Vizeeuropameister strich ganze </w:t>
      </w:r>
      <w:r>
        <w:t>5 Mio. € ein und der Europameister konnte sich über eine Siegprämie von 8 Mio. € freuen.</w:t>
      </w:r>
    </w:p>
    <w:p w14:paraId="0B660241" w14:textId="361E8934" w:rsidR="00A17D84" w:rsidRDefault="00A17D84" w:rsidP="00A17D84">
      <w:pPr>
        <w:spacing w:after="140"/>
      </w:pPr>
      <w:r>
        <w:t xml:space="preserve">Die nationalen Verbände legen für ihr Land jeweils eigenständig vertraglich fest, wie viel sie ihren Spielern, Trainern usw. von den erfolgsbezogenen Preisgeldern vertraglich zukommen lassen. Also wird nur ein Teil davon an die Spieler weitergegeben. Bekanntlich werden die Nationalmannschaften aus Spielern von verschiedenen Clubs zusammengestellt. Der jeweilige Fußballclub, für den sie </w:t>
      </w:r>
      <w:r w:rsidR="00C63DA3">
        <w:t xml:space="preserve">normalerweise </w:t>
      </w:r>
      <w:r>
        <w:t xml:space="preserve">vertraglich spielen, ist ihr </w:t>
      </w:r>
      <w:r w:rsidRPr="0078505B">
        <w:rPr>
          <w:b/>
          <w:bCs/>
        </w:rPr>
        <w:t>Arbeitgeber</w:t>
      </w:r>
      <w:r>
        <w:t>. In dieser Funktion zahlt er seinen angestellten Spielern die Vereinsgehälter aus und ist für deren Besteuerung zuständig. Analog verhält es sich mit den Prämien, die die deutschen Spieler vom DFB erhalten. Der Heimatverein muss die Steuern abführen, solange es sich um einen deutschen Proficlub handelt.</w:t>
      </w:r>
    </w:p>
    <w:p w14:paraId="63712864" w14:textId="77777777" w:rsidR="00A17D84" w:rsidRDefault="00A17D84" w:rsidP="00A17D84">
      <w:r>
        <w:t xml:space="preserve">Spieler anderer europäischer Nationalmannschaften müssen die Beträge in dem Land versteuern, </w:t>
      </w:r>
      <w:r>
        <w:lastRenderedPageBreak/>
        <w:t xml:space="preserve">in dem sie </w:t>
      </w:r>
      <w:r w:rsidRPr="0078505B">
        <w:t xml:space="preserve">entstanden sind. Somit hat Deutschland als </w:t>
      </w:r>
      <w:r w:rsidRPr="0078505B">
        <w:rPr>
          <w:b/>
          <w:bCs/>
        </w:rPr>
        <w:t>Austragungsland</w:t>
      </w:r>
      <w:r w:rsidRPr="0078505B">
        <w:t xml:space="preserve"> dem Grunde nach das Besteuerungsrecht, was nicht</w:t>
      </w:r>
      <w:r>
        <w:t xml:space="preserve"> gleichzeitig bedeutet, dass alle Nationalteams die Prämien in Deutschland versteuern. Allgemein gilt im internationalen Profi-Spielbetrieb für Mannschaftssportarten ein kompletter Steuererlass, wenn dieser im Gegenzug auch in dem jeweiligen ausländischen Staat für die in Deutschland ansässigen Sportler und Clubs gilt.</w:t>
      </w:r>
    </w:p>
    <w:p w14:paraId="072767B0" w14:textId="77777777" w:rsidR="00A17D84" w:rsidRDefault="00A17D84" w:rsidP="00A17D84">
      <w:pPr>
        <w:shd w:val="clear" w:color="auto" w:fill="E6E6E6"/>
        <w:ind w:left="284"/>
      </w:pPr>
      <w:r>
        <w:rPr>
          <w:b/>
        </w:rPr>
        <w:t>Hinweis:</w:t>
      </w:r>
      <w:r>
        <w:t xml:space="preserve"> In ihrer Antwort auf eine Kleine Anfrage zu Steuerfragen im Zusammenhang mit der Fußball-EM 2024 in Deutschland nennt die Bundesregierung keine konkreten Zahlen. Zur Unterstützung der Bewerbung des DFB um die Ausrichtung der EM in Deutschland habe die Bundesregierung Steuergarantien gegenüber der UEFA abgegeben. Diese Garantien unterlägen jedoch dem Steuergeheimnis, weil sie das Besteuerungsverfahren einzelner Steuerpflichtiger beträfen.</w:t>
      </w:r>
    </w:p>
    <w:p w14:paraId="0DC178DF" w14:textId="77777777" w:rsidR="00A17D84" w:rsidRDefault="00A17D84" w:rsidP="00A17D84">
      <w:pPr>
        <w:pStyle w:val="berschrift2"/>
      </w:pPr>
      <w:r>
        <w:t>Wettbewerbsrecht</w:t>
      </w:r>
      <w:r>
        <w:tab/>
      </w:r>
    </w:p>
    <w:p w14:paraId="5246C3C0" w14:textId="77777777" w:rsidR="00A17D84" w:rsidRDefault="00A17D84" w:rsidP="00A17D84">
      <w:pPr>
        <w:pStyle w:val="berschrift1"/>
      </w:pPr>
      <w:r w:rsidRPr="004932CC">
        <w:t xml:space="preserve">Was unter einer „geschäftlichen </w:t>
      </w:r>
      <w:r>
        <w:br/>
      </w:r>
      <w:r w:rsidRPr="004932CC">
        <w:t>Handlung“ zu verstehen ist</w:t>
      </w:r>
    </w:p>
    <w:p w14:paraId="7FD07430" w14:textId="77777777" w:rsidR="00A17D84" w:rsidRPr="00C87945" w:rsidRDefault="00A17D84" w:rsidP="00A17D84">
      <w:r>
        <w:t>Der Bundesgerichtshof (BGH) hat geklärt, ob e</w:t>
      </w:r>
      <w:r w:rsidRPr="00C87945">
        <w:t xml:space="preserve">ine ausschließlich mildtätige und/oder gemeinnützige Tätigkeit </w:t>
      </w:r>
      <w:r w:rsidRPr="009341CE">
        <w:rPr>
          <w:b/>
          <w:bCs/>
        </w:rPr>
        <w:t>ohne erwerbswirtschaftliche Ziele</w:t>
      </w:r>
      <w:r w:rsidRPr="00C87945">
        <w:t xml:space="preserve"> als geschäftliche Handlung anzusehen</w:t>
      </w:r>
      <w:r>
        <w:t xml:space="preserve"> ist.</w:t>
      </w:r>
    </w:p>
    <w:p w14:paraId="7B0654AA" w14:textId="4D13BE94" w:rsidR="00A17D84" w:rsidRDefault="00A17D84" w:rsidP="00A17D84">
      <w:r w:rsidRPr="00A91814">
        <w:t>Die Klägerin betreibt ein Unternehmen, das Tierrettungen, Tierkrankentransporte und Tierschutzkampagnen durchführt. Der Beklagte ist ein Tierschutzverein</w:t>
      </w:r>
      <w:r>
        <w:t>, dessen</w:t>
      </w:r>
      <w:r w:rsidRPr="00A91814">
        <w:t xml:space="preserve"> Mitglieder einen </w:t>
      </w:r>
      <w:r>
        <w:t>Ja</w:t>
      </w:r>
      <w:r w:rsidRPr="00A91814">
        <w:t>hr</w:t>
      </w:r>
      <w:r>
        <w:t>esb</w:t>
      </w:r>
      <w:r w:rsidRPr="00A91814">
        <w:t>eitrag</w:t>
      </w:r>
      <w:r w:rsidRPr="00FB58FB">
        <w:t xml:space="preserve"> </w:t>
      </w:r>
      <w:r w:rsidRPr="00A91814">
        <w:t xml:space="preserve">leisten. </w:t>
      </w:r>
      <w:r>
        <w:t>D</w:t>
      </w:r>
      <w:r w:rsidRPr="00A91814">
        <w:t xml:space="preserve">er </w:t>
      </w:r>
      <w:r>
        <w:t>Verein</w:t>
      </w:r>
      <w:r w:rsidRPr="00A91814">
        <w:t xml:space="preserve"> </w:t>
      </w:r>
      <w:r>
        <w:t xml:space="preserve">hatte </w:t>
      </w:r>
      <w:r w:rsidRPr="00A91814">
        <w:t>seinen aktiven Mitgliedern Tierkrankentransporte (</w:t>
      </w:r>
      <w:r w:rsidRPr="009341CE">
        <w:rPr>
          <w:b/>
          <w:bCs/>
        </w:rPr>
        <w:t>„Tierkrankenwagen“</w:t>
      </w:r>
      <w:r w:rsidRPr="00A91814">
        <w:t xml:space="preserve">) </w:t>
      </w:r>
      <w:r>
        <w:t>und</w:t>
      </w:r>
      <w:r w:rsidRPr="00A91814">
        <w:t xml:space="preserve"> </w:t>
      </w:r>
      <w:r>
        <w:t xml:space="preserve">kostenlose </w:t>
      </w:r>
      <w:r w:rsidRPr="00A91814">
        <w:t xml:space="preserve">Erste-Hilfe-Kurse am Tier angeboten. </w:t>
      </w:r>
      <w:r>
        <w:t>D</w:t>
      </w:r>
      <w:r w:rsidRPr="00A91814">
        <w:t xml:space="preserve">ie Parteien einigten sich darauf, dass die Leistungen des Tierkrankenwagens künftig von der Klägerin erbracht werden sollten. </w:t>
      </w:r>
      <w:r>
        <w:t>D</w:t>
      </w:r>
      <w:r w:rsidRPr="00A91814">
        <w:t xml:space="preserve">er </w:t>
      </w:r>
      <w:r>
        <w:t>Verein</w:t>
      </w:r>
      <w:r w:rsidRPr="00A91814">
        <w:t xml:space="preserve"> </w:t>
      </w:r>
      <w:r>
        <w:t xml:space="preserve">übertrug </w:t>
      </w:r>
      <w:r w:rsidRPr="00A91814">
        <w:t xml:space="preserve">der Klägerin </w:t>
      </w:r>
      <w:r>
        <w:t>daraufhin</w:t>
      </w:r>
      <w:r w:rsidRPr="00A91814">
        <w:t xml:space="preserve"> die eingetragene Wort-/Bildmarke </w:t>
      </w:r>
      <w:r>
        <w:t>„</w:t>
      </w:r>
      <w:r w:rsidRPr="00A91814">
        <w:t>Tierkrankenwagen</w:t>
      </w:r>
      <w:r>
        <w:t>“</w:t>
      </w:r>
      <w:r w:rsidRPr="00A91814">
        <w:t>. Außerdem übergab er ihr Kundendaten und übertrug ihr seine Internet</w:t>
      </w:r>
      <w:r>
        <w:t>d</w:t>
      </w:r>
      <w:r w:rsidRPr="00A91814">
        <w:t xml:space="preserve">omain. </w:t>
      </w:r>
      <w:r>
        <w:t>D</w:t>
      </w:r>
      <w:r w:rsidRPr="00A91814">
        <w:t xml:space="preserve">ie Klägerin führte </w:t>
      </w:r>
      <w:r w:rsidR="00C927CB">
        <w:t xml:space="preserve">die </w:t>
      </w:r>
      <w:r w:rsidRPr="00A91814">
        <w:t>(ehemalige</w:t>
      </w:r>
      <w:r w:rsidR="00C927CB">
        <w:t>n</w:t>
      </w:r>
      <w:r w:rsidRPr="00A91814">
        <w:t xml:space="preserve">) </w:t>
      </w:r>
      <w:r w:rsidR="00BF689B">
        <w:t>Vereinsm</w:t>
      </w:r>
      <w:r w:rsidRPr="00A91814">
        <w:t xml:space="preserve">itglieder </w:t>
      </w:r>
      <w:r>
        <w:t xml:space="preserve">ab diesem Zeitpunkt </w:t>
      </w:r>
      <w:r w:rsidRPr="00A91814">
        <w:t xml:space="preserve">als Kunden und vereinnahmte deren Zahlungen. Auszahlungen an den </w:t>
      </w:r>
      <w:r>
        <w:t>Verein</w:t>
      </w:r>
      <w:r w:rsidRPr="00A91814">
        <w:t xml:space="preserve"> veranlasste </w:t>
      </w:r>
      <w:r>
        <w:t>s</w:t>
      </w:r>
      <w:r w:rsidRPr="00A91814">
        <w:t xml:space="preserve">ie </w:t>
      </w:r>
      <w:r>
        <w:t>n</w:t>
      </w:r>
      <w:r w:rsidRPr="00A91814">
        <w:t xml:space="preserve">icht. Der </w:t>
      </w:r>
      <w:r>
        <w:t>Verein</w:t>
      </w:r>
      <w:r w:rsidRPr="00A91814">
        <w:t xml:space="preserve"> stellte </w:t>
      </w:r>
      <w:r>
        <w:t>seine Tätigkeit im Folgejahr</w:t>
      </w:r>
      <w:r w:rsidRPr="00A91814">
        <w:t xml:space="preserve"> ein, wurde aber nicht aufgelöst.</w:t>
      </w:r>
    </w:p>
    <w:p w14:paraId="3CEAE815" w14:textId="75A8CCFB" w:rsidR="00A17D84" w:rsidRDefault="00A17D84" w:rsidP="00A17D84">
      <w:r>
        <w:t xml:space="preserve">Drei Jahre später </w:t>
      </w:r>
      <w:r w:rsidRPr="00A91814">
        <w:t xml:space="preserve">untersagte der </w:t>
      </w:r>
      <w:r>
        <w:t>Verein</w:t>
      </w:r>
      <w:r w:rsidRPr="00A91814">
        <w:t xml:space="preserve"> der Klägerin jegliche Lastschriftabbuchungen zu Lasten der </w:t>
      </w:r>
      <w:r w:rsidR="00D36519">
        <w:t>Vereinsm</w:t>
      </w:r>
      <w:r w:rsidRPr="00A91814">
        <w:t xml:space="preserve">itglieder </w:t>
      </w:r>
      <w:r>
        <w:t>und</w:t>
      </w:r>
      <w:r w:rsidRPr="00A91814">
        <w:t xml:space="preserve"> die Nutzung der Mitgliederdaten. </w:t>
      </w:r>
      <w:r>
        <w:t>E</w:t>
      </w:r>
      <w:r w:rsidRPr="00A91814">
        <w:t xml:space="preserve">r </w:t>
      </w:r>
      <w:r>
        <w:t xml:space="preserve">teilte </w:t>
      </w:r>
      <w:r w:rsidRPr="00A91814">
        <w:t xml:space="preserve">der Klägerin mit, dass er seine Arbeit wieder aufgenommen habe und die Beiträge der Mitglieder einziehen werde. Der </w:t>
      </w:r>
      <w:r>
        <w:t>Verein</w:t>
      </w:r>
      <w:r w:rsidRPr="00A91814">
        <w:t xml:space="preserve"> schrieb seine (ehemaligen) Mitglieder an </w:t>
      </w:r>
      <w:r w:rsidRPr="00A91814">
        <w:t>und äußerte sich u</w:t>
      </w:r>
      <w:r>
        <w:t>nter anderem</w:t>
      </w:r>
      <w:r w:rsidRPr="00A91814">
        <w:t xml:space="preserve"> despektierlich über die Klägerin.</w:t>
      </w:r>
      <w:r>
        <w:t xml:space="preserve"> Im Anschluss stritten die Parteien über </w:t>
      </w:r>
      <w:r w:rsidRPr="004932CC">
        <w:t xml:space="preserve">die Nutzung der </w:t>
      </w:r>
      <w:r w:rsidRPr="00035A11">
        <w:t>Marke</w:t>
      </w:r>
      <w:r w:rsidRPr="004932CC">
        <w:t xml:space="preserve"> „Tierkrankenwagen“ und anderer Ressourcen</w:t>
      </w:r>
      <w:r>
        <w:t>.</w:t>
      </w:r>
    </w:p>
    <w:p w14:paraId="1AD63DE1" w14:textId="77777777" w:rsidR="00A17D84" w:rsidRDefault="00A17D84" w:rsidP="00A17D84">
      <w:r>
        <w:t>Der BGH ist zu folgendem Ergebnis gekommen: E</w:t>
      </w:r>
      <w:r w:rsidRPr="004932CC">
        <w:t xml:space="preserve">ine ausschließlich mildtätige und/oder gemeinnützige Tätigkeit, die keine erwerbswirtschaftlichen Ziele verfolgt und nicht auf die Erbringung einer entgeltlichen oder auf dem Markt ansonsten gegen Entgelt angebotenen Leistung gerichtet ist, </w:t>
      </w:r>
      <w:r>
        <w:t xml:space="preserve">ist </w:t>
      </w:r>
      <w:r w:rsidRPr="004932CC">
        <w:t xml:space="preserve">grundsätzlich nicht als geschäftliche Handlung anzusehen. </w:t>
      </w:r>
      <w:r>
        <w:t>D</w:t>
      </w:r>
      <w:r w:rsidRPr="004932CC">
        <w:t xml:space="preserve">er </w:t>
      </w:r>
      <w:r>
        <w:t xml:space="preserve">Verein habe </w:t>
      </w:r>
      <w:r w:rsidRPr="004932CC">
        <w:t>zum Zeitpunkt der streitbefangenen Äußerungen keine Leistungen erbracht, die auf dem Markt gegen Entgelt angeboten w</w:t>
      </w:r>
      <w:r>
        <w:t>o</w:t>
      </w:r>
      <w:r w:rsidRPr="004932CC">
        <w:t>rden</w:t>
      </w:r>
      <w:r>
        <w:t xml:space="preserve"> seien</w:t>
      </w:r>
      <w:r w:rsidRPr="004932CC">
        <w:t xml:space="preserve">. </w:t>
      </w:r>
      <w:r>
        <w:t>E</w:t>
      </w:r>
      <w:r w:rsidRPr="004932CC">
        <w:t xml:space="preserve">r </w:t>
      </w:r>
      <w:r w:rsidRPr="009341CE">
        <w:t>habe keine erwerbswirtschaftlichen Ziele verfolg</w:t>
      </w:r>
      <w:r w:rsidRPr="004932CC">
        <w:t xml:space="preserve">t, da die angebotenen Dienstleistungen ausschließlich für Mitglieder des Vereins und </w:t>
      </w:r>
      <w:r w:rsidRPr="009341CE">
        <w:rPr>
          <w:b/>
          <w:bCs/>
        </w:rPr>
        <w:t>ohne Gewinnerzielungsabsicht</w:t>
      </w:r>
      <w:r w:rsidRPr="004932CC">
        <w:t xml:space="preserve"> erbracht w</w:t>
      </w:r>
      <w:r>
        <w:t>o</w:t>
      </w:r>
      <w:r w:rsidRPr="004932CC">
        <w:t>rden</w:t>
      </w:r>
      <w:r>
        <w:t xml:space="preserve"> seien</w:t>
      </w:r>
      <w:r w:rsidRPr="004932CC">
        <w:t>.</w:t>
      </w:r>
    </w:p>
    <w:p w14:paraId="2810A8D2" w14:textId="77777777" w:rsidR="00A17D84" w:rsidRDefault="00A17D84" w:rsidP="00A17D84">
      <w:pPr>
        <w:shd w:val="clear" w:color="auto" w:fill="E6E6E6"/>
        <w:ind w:left="284"/>
      </w:pPr>
      <w:r>
        <w:rPr>
          <w:b/>
        </w:rPr>
        <w:t>Hinweis:</w:t>
      </w:r>
      <w:r>
        <w:t xml:space="preserve"> Der BGH hat die </w:t>
      </w:r>
      <w:r w:rsidRPr="009341CE">
        <w:t>Sache an das Berufungsgericht</w:t>
      </w:r>
      <w:r>
        <w:t xml:space="preserve"> zurückverwiesen, weil er nicht abschließend entscheiden konnte.</w:t>
      </w:r>
    </w:p>
    <w:p w14:paraId="22295017" w14:textId="77777777" w:rsidR="00A17D84" w:rsidRDefault="00A17D84" w:rsidP="00A17D84">
      <w:pPr>
        <w:pStyle w:val="berschrift2"/>
      </w:pPr>
      <w:r w:rsidRPr="0087382B">
        <w:t>Konkurrentenklage</w:t>
      </w:r>
      <w:r>
        <w:tab/>
      </w:r>
    </w:p>
    <w:p w14:paraId="25F246FE" w14:textId="77777777" w:rsidR="00A17D84" w:rsidRDefault="00A17D84" w:rsidP="00A17D84">
      <w:pPr>
        <w:pStyle w:val="berschrift1"/>
      </w:pPr>
      <w:r>
        <w:t xml:space="preserve">Welche Voraussetzungen für eine </w:t>
      </w:r>
      <w:r>
        <w:br/>
        <w:t>Akteneinsicht erfüllt sein müssen</w:t>
      </w:r>
    </w:p>
    <w:p w14:paraId="5A9A406F" w14:textId="1FE2F257" w:rsidR="00A17D84" w:rsidRDefault="00A17D84" w:rsidP="00A17D84">
      <w:r>
        <w:t xml:space="preserve">Vereinen, </w:t>
      </w:r>
      <w:r w:rsidRPr="0087382B">
        <w:t xml:space="preserve">die ausschließlich und unmittelbar gemeinnützige, </w:t>
      </w:r>
      <w:r w:rsidRPr="00931F82">
        <w:t>mildtätige oder kirchliche Zwecke verfolgen, wird der ermäßigte Umsatzsteuersatz</w:t>
      </w:r>
      <w:r>
        <w:t xml:space="preserve"> gewährt</w:t>
      </w:r>
      <w:r w:rsidRPr="0087382B">
        <w:t>. Für im Rahmen eines Zweckbetriebs ausgeführt</w:t>
      </w:r>
      <w:r>
        <w:t>e</w:t>
      </w:r>
      <w:r w:rsidRPr="0087382B">
        <w:t xml:space="preserve"> Leistungen</w:t>
      </w:r>
      <w:r>
        <w:t xml:space="preserve"> ist die </w:t>
      </w:r>
      <w:r w:rsidRPr="0087382B">
        <w:t>Umsatzsteuersatz</w:t>
      </w:r>
      <w:r w:rsidR="00EF2ABF">
        <w:softHyphen/>
      </w:r>
      <w:r w:rsidRPr="0087382B">
        <w:t xml:space="preserve">ermäßigung </w:t>
      </w:r>
      <w:r>
        <w:t>an enge Voraussetzungen geknüpft. Der Z</w:t>
      </w:r>
      <w:r w:rsidRPr="00633463">
        <w:t xml:space="preserve">weckbetrieb </w:t>
      </w:r>
      <w:r>
        <w:t xml:space="preserve">darf </w:t>
      </w:r>
      <w:r w:rsidRPr="00633463">
        <w:t>nicht in erster Linie der Erzielung zusätzlicher Einnahmen durch die Ausführung von Umsätzen dien</w:t>
      </w:r>
      <w:r>
        <w:t>en</w:t>
      </w:r>
      <w:r w:rsidRPr="00633463">
        <w:t>, die in unmittelbarem Wettbewerb mit dem allgemeinen Steuersatz unterliegenden Leistungen anderer Unternehmer ausgeführt werden</w:t>
      </w:r>
      <w:r>
        <w:t xml:space="preserve">. Vor diesem Hintergrund nimmt die Zahl der </w:t>
      </w:r>
      <w:r w:rsidRPr="0087382B">
        <w:t xml:space="preserve">Konkurrentenklagen gegen </w:t>
      </w:r>
      <w:r>
        <w:t>steuerbegünstigte</w:t>
      </w:r>
      <w:r w:rsidRPr="0087382B">
        <w:t xml:space="preserve"> </w:t>
      </w:r>
      <w:r>
        <w:t xml:space="preserve">Organisationen zu. Der Bundesfinanzhof (BFH) hat sich mit der Frage befasst, unter welchen Voraussetzungen in solchen Fällen durch das </w:t>
      </w:r>
      <w:r w:rsidRPr="00931F82">
        <w:rPr>
          <w:b/>
          <w:bCs/>
        </w:rPr>
        <w:t>Steuergeheimnis</w:t>
      </w:r>
      <w:r>
        <w:t xml:space="preserve"> geschützte Daten offenbart werden müssen.</w:t>
      </w:r>
    </w:p>
    <w:p w14:paraId="6AA6CB12" w14:textId="77777777" w:rsidR="00A17D84" w:rsidRDefault="00A17D84" w:rsidP="00A17D84">
      <w:r>
        <w:t>Ein Anbieter von Wäschereidienstleistungen hatte versucht, in Steuerakten einer gemeinnützigen (und damit steuerbegünstigten) Organisation, die ebenfalls eine Wäscherei betreibt, Einsicht zu nehmen. So wollte er beweisen, dass die gemeinnützige Organisation zu Unrecht als steuerbegünstigter Zweckbetrieb behandelt wurde. Streitig war dabei, in welchem Umfang das Finanzamt Akten vorzulegen hat. Das Finanzamt berief sich auf die Wahrung des Steuergeheimnisses. Der Wettbewerber beantragte daraufhin beim Finanz</w:t>
      </w:r>
      <w:r>
        <w:lastRenderedPageBreak/>
        <w:t xml:space="preserve">gericht, vom BFH feststellen zu lassen, dass die Weigerung des Finanzamts, weitere Aktenbestandteile vorzulegen, rechtswidrig sei. Der BFH hat das Finanzamt </w:t>
      </w:r>
      <w:bookmarkStart w:id="1" w:name="_Hlk176515629"/>
      <w:r>
        <w:t xml:space="preserve">zur Offenbarung durch das Steuergeheimnis geschützter Daten </w:t>
      </w:r>
      <w:bookmarkEnd w:id="1"/>
      <w:r>
        <w:t xml:space="preserve">verpflichtet. Voraussetzung sei nur, dass dabei das </w:t>
      </w:r>
      <w:r w:rsidRPr="00931F82">
        <w:rPr>
          <w:b/>
          <w:bCs/>
        </w:rPr>
        <w:t>Verhältnismäßigkeitsprinzip</w:t>
      </w:r>
      <w:r>
        <w:t xml:space="preserve"> gewahrt werde.</w:t>
      </w:r>
    </w:p>
    <w:p w14:paraId="1BC96F32" w14:textId="77777777" w:rsidR="00A17D84" w:rsidRDefault="00A17D84" w:rsidP="00A17D84">
      <w:pPr>
        <w:pStyle w:val="berschrift2"/>
      </w:pPr>
      <w:r>
        <w:t>Umsatzsteuer</w:t>
      </w:r>
      <w:r>
        <w:tab/>
      </w:r>
    </w:p>
    <w:p w14:paraId="19BB9C18" w14:textId="77777777" w:rsidR="00A17D84" w:rsidRDefault="00A17D84" w:rsidP="00A17D84">
      <w:pPr>
        <w:pStyle w:val="berschrift1"/>
      </w:pPr>
      <w:r>
        <w:t xml:space="preserve">Wann führt ein Verein eine gegen </w:t>
      </w:r>
      <w:r>
        <w:br/>
        <w:t>Entgelt erbrachte Dienstleistung aus?</w:t>
      </w:r>
    </w:p>
    <w:p w14:paraId="4D6010C5" w14:textId="331FF1F7" w:rsidR="00A17D84" w:rsidRPr="006942A0" w:rsidRDefault="00A17D84" w:rsidP="00A17D84">
      <w:r w:rsidRPr="006942A0">
        <w:t>Der Eu</w:t>
      </w:r>
      <w:r w:rsidRPr="00147672">
        <w:t>ropäische Gericht</w:t>
      </w:r>
      <w:r w:rsidR="00A70CE2">
        <w:t>s</w:t>
      </w:r>
      <w:r w:rsidRPr="00147672">
        <w:t xml:space="preserve">hof </w:t>
      </w:r>
      <w:r>
        <w:t xml:space="preserve">(EuGH) </w:t>
      </w:r>
      <w:r w:rsidRPr="00147672">
        <w:t>hat geklärt</w:t>
      </w:r>
      <w:r w:rsidRPr="006942A0">
        <w:t>, ob ein gemeinnütziger Verein, der aus dem Europäischen Fonds für regionale Entwicklung finanzierte Projekte durchführt, eine gegen Entgelt erbrachte Dienstleistung ausführt.</w:t>
      </w:r>
    </w:p>
    <w:p w14:paraId="79703D6A" w14:textId="0C5EDBE4" w:rsidR="00A17D84" w:rsidRPr="00147672" w:rsidRDefault="00A17D84" w:rsidP="00A17D84">
      <w:r>
        <w:t>Laut EuGH kann e</w:t>
      </w:r>
      <w:r w:rsidRPr="006942A0">
        <w:t>in gemeinnütziger Verein, der im eigenen Namen subventionierte Aus- und Fortbildungen erbringt, steuerbare Dienstleistungen gegenüber den Leistung</w:t>
      </w:r>
      <w:r w:rsidRPr="00147672">
        <w:t>se</w:t>
      </w:r>
      <w:r w:rsidRPr="006942A0">
        <w:t xml:space="preserve">mpfängern ausführen. Der Verein muss die Leistungen nicht selbst erbringen, sondern kann dabei </w:t>
      </w:r>
      <w:r w:rsidRPr="00147672">
        <w:t>Subunternehmer</w:t>
      </w:r>
      <w:r w:rsidRPr="006942A0">
        <w:t xml:space="preserve"> </w:t>
      </w:r>
      <w:r w:rsidRPr="00147672">
        <w:t>einsetzen</w:t>
      </w:r>
      <w:r w:rsidRPr="006942A0">
        <w:t>.</w:t>
      </w:r>
      <w:r w:rsidRPr="00147672">
        <w:t xml:space="preserve"> O</w:t>
      </w:r>
      <w:r w:rsidRPr="006942A0">
        <w:t xml:space="preserve">b der Verein auf </w:t>
      </w:r>
      <w:r w:rsidRPr="00EF2ABF">
        <w:t>Gewinnstreben</w:t>
      </w:r>
      <w:r w:rsidRPr="006942A0">
        <w:t xml:space="preserve"> ausgerichtet ist oder nur kostendeckend tätig werden will</w:t>
      </w:r>
      <w:r w:rsidRPr="00147672">
        <w:t>, ist hierbei nicht maßgebend</w:t>
      </w:r>
      <w:r w:rsidRPr="006942A0">
        <w:t xml:space="preserve">. Eine </w:t>
      </w:r>
      <w:r w:rsidRPr="00EF2ABF">
        <w:rPr>
          <w:b/>
          <w:bCs/>
        </w:rPr>
        <w:t>Gewinnerzielungsabsicht</w:t>
      </w:r>
      <w:r w:rsidRPr="006942A0">
        <w:t xml:space="preserve"> ist für das Vorliegen einer wirtschaftlichen Tätigkeit nicht erforderlich.</w:t>
      </w:r>
      <w:r w:rsidRPr="00147672">
        <w:t xml:space="preserve"> </w:t>
      </w:r>
      <w:r w:rsidRPr="006942A0">
        <w:t>In die Bemessungsgrundlage für die Leistung sind neben den Zahlungen der Empfänger der Leistungen auch die erhaltenen Subventionen einzubeziehen, da diese für eine konkret</w:t>
      </w:r>
      <w:r w:rsidR="00767DE6">
        <w:t>e</w:t>
      </w:r>
      <w:r w:rsidRPr="006942A0">
        <w:t xml:space="preserve"> </w:t>
      </w:r>
      <w:r w:rsidR="00767DE6">
        <w:t>Dienstl</w:t>
      </w:r>
      <w:r w:rsidRPr="006942A0">
        <w:t xml:space="preserve">eistung </w:t>
      </w:r>
      <w:r w:rsidR="00767DE6">
        <w:t>fließen</w:t>
      </w:r>
      <w:r w:rsidRPr="006942A0">
        <w:t>.</w:t>
      </w:r>
    </w:p>
    <w:p w14:paraId="61F10244" w14:textId="77777777" w:rsidR="00A17D84" w:rsidRDefault="00A17D84" w:rsidP="00A17D84">
      <w:pPr>
        <w:shd w:val="clear" w:color="auto" w:fill="E6E6E6"/>
        <w:spacing w:after="140"/>
        <w:ind w:left="284"/>
      </w:pPr>
      <w:r w:rsidRPr="008B2E5D">
        <w:rPr>
          <w:b/>
          <w:bCs/>
        </w:rPr>
        <w:t>Hinweis:</w:t>
      </w:r>
      <w:r>
        <w:t xml:space="preserve"> In dem</w:t>
      </w:r>
      <w:r w:rsidRPr="006942A0">
        <w:t xml:space="preserve"> Verfahren </w:t>
      </w:r>
      <w:r>
        <w:t xml:space="preserve">ging es zwar um einen </w:t>
      </w:r>
      <w:r w:rsidRPr="006942A0">
        <w:t>lettische</w:t>
      </w:r>
      <w:r>
        <w:t>n</w:t>
      </w:r>
      <w:r w:rsidRPr="006942A0">
        <w:t xml:space="preserve"> Verein</w:t>
      </w:r>
      <w:r>
        <w:t>, aufgrund des harmonisierten Unionsrechts ist die Entscheidung aber auf gemeinnützige Vereine, die hierzulande tätig sind, übertragbar.</w:t>
      </w:r>
    </w:p>
    <w:p w14:paraId="75F0E728" w14:textId="77777777" w:rsidR="00A17D84" w:rsidRPr="006942A0" w:rsidRDefault="00A17D84" w:rsidP="00A17D84">
      <w:pPr>
        <w:shd w:val="clear" w:color="auto" w:fill="E6E6E6"/>
        <w:spacing w:after="140"/>
        <w:ind w:left="284"/>
      </w:pPr>
      <w:r w:rsidRPr="00083168">
        <w:t>U</w:t>
      </w:r>
      <w:r w:rsidRPr="006942A0">
        <w:t xml:space="preserve">nter bestimmten Voraussetzungen </w:t>
      </w:r>
      <w:r w:rsidRPr="00083168">
        <w:t xml:space="preserve">sind </w:t>
      </w:r>
      <w:r w:rsidRPr="006942A0">
        <w:t>unmittelbar dem Schul- und Bildungszweck dienende Leistungen</w:t>
      </w:r>
      <w:r w:rsidRPr="00083168">
        <w:t xml:space="preserve"> umsatz</w:t>
      </w:r>
      <w:r w:rsidRPr="006942A0">
        <w:t xml:space="preserve">steuerfrei. </w:t>
      </w:r>
      <w:r>
        <w:t>D</w:t>
      </w:r>
      <w:r w:rsidRPr="006942A0">
        <w:t xml:space="preserve">ie Steuerbefreiung </w:t>
      </w:r>
      <w:r w:rsidRPr="00083168">
        <w:t xml:space="preserve">für Bildungsleistungen </w:t>
      </w:r>
      <w:r>
        <w:t>soll n</w:t>
      </w:r>
      <w:r w:rsidRPr="006942A0">
        <w:t xml:space="preserve">ach dem </w:t>
      </w:r>
      <w:r w:rsidRPr="00083168">
        <w:t>Regierungse</w:t>
      </w:r>
      <w:r w:rsidRPr="006942A0">
        <w:t xml:space="preserve">ntwurf eines Jahressteuergesetzes 2024 </w:t>
      </w:r>
      <w:r w:rsidRPr="00083168">
        <w:t xml:space="preserve">im Hinblick auf unionsrechtliche Vorgaben </w:t>
      </w:r>
      <w:r w:rsidRPr="006942A0">
        <w:t>neu gefasst werden.</w:t>
      </w:r>
    </w:p>
    <w:p w14:paraId="35E0DE6C" w14:textId="77777777" w:rsidR="00A17D84" w:rsidRDefault="00A17D84" w:rsidP="00A17D84">
      <w:pPr>
        <w:pStyle w:val="berschrift2"/>
        <w:spacing w:before="380"/>
      </w:pPr>
      <w:r>
        <w:t>Abgabepflicht</w:t>
      </w:r>
      <w:r>
        <w:tab/>
      </w:r>
    </w:p>
    <w:p w14:paraId="0EC19680" w14:textId="77777777" w:rsidR="00A17D84" w:rsidRDefault="00A17D84" w:rsidP="00A17D84">
      <w:pPr>
        <w:pStyle w:val="berschrift1"/>
      </w:pPr>
      <w:r>
        <w:t>Der Abgabesatz zur Künstlersozial</w:t>
      </w:r>
      <w:r>
        <w:softHyphen/>
        <w:t>versicherung bleibt auch 2025 stabil</w:t>
      </w:r>
    </w:p>
    <w:p w14:paraId="33B767FF" w14:textId="77777777" w:rsidR="00A17D84" w:rsidRDefault="00A17D84" w:rsidP="00A17D84">
      <w:pPr>
        <w:spacing w:after="140"/>
      </w:pPr>
      <w:r>
        <w:t xml:space="preserve">Planen Sie schon den Etat für 2025? Dann müssen Sie bei einem Posten keine Veränderung einkalkulieren: Der Abgabesatz zur Künstlersozialversicherung beträgt ab dem 01.01.2025 weiterhin 5,0 %. Die Abgabepflicht besteht unabhängig </w:t>
      </w:r>
      <w:r>
        <w:t>von der Re</w:t>
      </w:r>
      <w:r w:rsidRPr="00416211">
        <w:t xml:space="preserve">chtsform des Auftraggebers und unabhängig davon, ob der Verein </w:t>
      </w:r>
      <w:r w:rsidRPr="00416211">
        <w:rPr>
          <w:b/>
        </w:rPr>
        <w:t>gemeinnützig</w:t>
      </w:r>
      <w:r w:rsidRPr="00416211">
        <w:t xml:space="preserve"> ist oder nicht</w:t>
      </w:r>
      <w:r>
        <w:t>.</w:t>
      </w:r>
    </w:p>
    <w:p w14:paraId="1E1D5DA8" w14:textId="77777777" w:rsidR="00A17D84" w:rsidRDefault="00A17D84" w:rsidP="00A17D84">
      <w:pPr>
        <w:spacing w:after="140"/>
      </w:pPr>
      <w:r>
        <w:t>Der Begriff des Künstlers ist sehr weit gefasst. Die Abgabe wird zum Beispiel fällig, wenn Ihr Verein selbständige Grafiker für Festschriften oder Broschüren des Vereins, Texter oder Webdesigner für die Vereinshomepage oder Musiker für ein Vereinsfest beauftragt.</w:t>
      </w:r>
    </w:p>
    <w:p w14:paraId="679EBC76" w14:textId="77777777" w:rsidR="00A17D84" w:rsidRDefault="00A17D84" w:rsidP="00A17D84">
      <w:pPr>
        <w:shd w:val="clear" w:color="auto" w:fill="E6E6E6"/>
        <w:spacing w:after="140"/>
        <w:ind w:left="284"/>
      </w:pPr>
      <w:r>
        <w:rPr>
          <w:b/>
        </w:rPr>
        <w:t>Hinweis:</w:t>
      </w:r>
      <w:r>
        <w:t xml:space="preserve"> Die Künstlersozialabgabe wird bei der </w:t>
      </w:r>
      <w:r w:rsidRPr="00CF08C5">
        <w:t xml:space="preserve">Beauftragung </w:t>
      </w:r>
      <w:r w:rsidRPr="00F632AA">
        <w:t>selbständige</w:t>
      </w:r>
      <w:r>
        <w:t>r</w:t>
      </w:r>
      <w:r w:rsidRPr="00F632AA">
        <w:t xml:space="preserve"> Künstler oder Publizisten</w:t>
      </w:r>
      <w:r>
        <w:t xml:space="preserve"> fällig - unabhängig davon, ob Sie diese </w:t>
      </w:r>
      <w:r w:rsidRPr="00A2484A">
        <w:t xml:space="preserve">als einzelne Freischaffende oder als Gruppe (z.B. </w:t>
      </w:r>
      <w:r>
        <w:t xml:space="preserve">als </w:t>
      </w:r>
      <w:r w:rsidRPr="00A2484A">
        <w:t>G</w:t>
      </w:r>
      <w:r>
        <w:t>bR</w:t>
      </w:r>
      <w:r w:rsidRPr="00A2484A">
        <w:t xml:space="preserve">) oder unter einer Firma (Einzelfirma) beauftragen. </w:t>
      </w:r>
      <w:r>
        <w:t xml:space="preserve">Wenn Sie dagegen zum Beispiel eine </w:t>
      </w:r>
      <w:r w:rsidRPr="00F632AA">
        <w:t>KG</w:t>
      </w:r>
      <w:r w:rsidRPr="00A2484A">
        <w:t>,</w:t>
      </w:r>
      <w:r w:rsidRPr="00F632AA">
        <w:t xml:space="preserve"> </w:t>
      </w:r>
      <w:r w:rsidRPr="00A2484A">
        <w:t xml:space="preserve">OHG, </w:t>
      </w:r>
      <w:r w:rsidRPr="00F632AA">
        <w:t>GmbH</w:t>
      </w:r>
      <w:r>
        <w:t xml:space="preserve"> oder eine</w:t>
      </w:r>
      <w:r w:rsidRPr="00F632AA">
        <w:t xml:space="preserve"> AG</w:t>
      </w:r>
      <w:r>
        <w:t xml:space="preserve"> mit künstlerischen Arbeiten beauftragen, fällt die Abgabe nicht an.</w:t>
      </w:r>
    </w:p>
    <w:p w14:paraId="4FB0F12E" w14:textId="77777777" w:rsidR="00A17D84" w:rsidRPr="005F77F2" w:rsidRDefault="00A17D84" w:rsidP="00A17D84">
      <w:pPr>
        <w:spacing w:after="140"/>
      </w:pPr>
      <w:r>
        <w:t xml:space="preserve">Das folgende Beispiel zeigt, wie Sie </w:t>
      </w:r>
      <w:r w:rsidRPr="005F77F2">
        <w:t>die Künstlersozialabgabe berechnen</w:t>
      </w:r>
      <w:r>
        <w:t>.</w:t>
      </w:r>
    </w:p>
    <w:p w14:paraId="52214448" w14:textId="77777777" w:rsidR="00A17D84" w:rsidRDefault="00A17D84" w:rsidP="00A17D84">
      <w:pPr>
        <w:shd w:val="clear" w:color="auto" w:fill="E6E6E6"/>
        <w:spacing w:after="140"/>
        <w:ind w:left="284"/>
      </w:pPr>
      <w:r>
        <w:rPr>
          <w:b/>
        </w:rPr>
        <w:t>Beispiel:</w:t>
      </w:r>
      <w:r>
        <w:t xml:space="preserve"> Ein Verein beauftragt einen Grafi</w:t>
      </w:r>
      <w:r w:rsidRPr="005F77F2">
        <w:t>ker</w:t>
      </w:r>
      <w:r>
        <w:t xml:space="preserve"> mit dem Entwurf</w:t>
      </w:r>
      <w:r w:rsidRPr="005F77F2">
        <w:t xml:space="preserve"> ein</w:t>
      </w:r>
      <w:r>
        <w:t>es</w:t>
      </w:r>
      <w:r w:rsidRPr="005F77F2">
        <w:t xml:space="preserve"> neue</w:t>
      </w:r>
      <w:r>
        <w:t>n</w:t>
      </w:r>
      <w:r w:rsidRPr="005F77F2">
        <w:t xml:space="preserve"> Vereinslogo</w:t>
      </w:r>
      <w:r>
        <w:t>s</w:t>
      </w:r>
      <w:r w:rsidRPr="005F77F2">
        <w:t xml:space="preserve">. </w:t>
      </w:r>
      <w:r>
        <w:t xml:space="preserve">Dieser </w:t>
      </w:r>
      <w:r w:rsidRPr="005F77F2">
        <w:t xml:space="preserve">berechnet dem Verein </w:t>
      </w:r>
      <w:r>
        <w:t>dafür</w:t>
      </w:r>
      <w:r w:rsidRPr="005F77F2">
        <w:t xml:space="preserve"> 1.400</w:t>
      </w:r>
      <w:r>
        <w:t> €</w:t>
      </w:r>
      <w:r w:rsidRPr="005F77F2">
        <w:t xml:space="preserve"> netto. Bei der Bemessungsgrundlage bleiben die Umsatzsteuer und </w:t>
      </w:r>
      <w:r>
        <w:t xml:space="preserve">die </w:t>
      </w:r>
      <w:r w:rsidRPr="005F77F2">
        <w:t>Reisekosten des Künstlers außer Betracht:</w:t>
      </w:r>
      <w:r>
        <w:t xml:space="preserve"> 1.400 € x 5 % = 70 €, die abzuführen sind.</w:t>
      </w:r>
    </w:p>
    <w:p w14:paraId="61455E70" w14:textId="77777777" w:rsidR="00A17D84" w:rsidRDefault="00A17D84" w:rsidP="00A17D84">
      <w:pPr>
        <w:pStyle w:val="berschrift2"/>
      </w:pPr>
      <w:r w:rsidRPr="00066FF5">
        <w:t>Ladungsfristen</w:t>
      </w:r>
      <w:r>
        <w:tab/>
      </w:r>
    </w:p>
    <w:p w14:paraId="3D44D830" w14:textId="77777777" w:rsidR="00A17D84" w:rsidRPr="00A52D89" w:rsidRDefault="00A17D84" w:rsidP="00A17D84">
      <w:pPr>
        <w:pStyle w:val="berschrift1"/>
      </w:pPr>
      <w:r w:rsidRPr="00A52D89">
        <w:t xml:space="preserve">Laufzeitvorgaben für Briefe verlängern sich </w:t>
      </w:r>
      <w:r>
        <w:t xml:space="preserve">ab 2025 </w:t>
      </w:r>
      <w:r w:rsidRPr="00A52D89">
        <w:t>um einen Tag</w:t>
      </w:r>
    </w:p>
    <w:p w14:paraId="152679B0" w14:textId="2985087B" w:rsidR="00A17D84" w:rsidRDefault="00A17D84" w:rsidP="00A17D84">
      <w:pPr>
        <w:spacing w:after="140"/>
      </w:pPr>
      <w:r>
        <w:t xml:space="preserve">Viele Vereine laden noch per Post zur Mitgliederversammlung ein. Da die </w:t>
      </w:r>
      <w:r w:rsidRPr="00A52D89">
        <w:t>Ladungsfristen</w:t>
      </w:r>
      <w:r>
        <w:t xml:space="preserve"> einzuhalten sind, müssen Sie die üblichen Postlaufzeiten kennen. Hier hat sich im Rahmen des </w:t>
      </w:r>
      <w:r w:rsidRPr="00A52D89">
        <w:rPr>
          <w:b/>
          <w:bCs/>
        </w:rPr>
        <w:t>Post</w:t>
      </w:r>
      <w:r>
        <w:rPr>
          <w:b/>
          <w:bCs/>
        </w:rPr>
        <w:softHyphen/>
      </w:r>
      <w:r w:rsidRPr="00A52D89">
        <w:rPr>
          <w:b/>
          <w:bCs/>
        </w:rPr>
        <w:t>rechtsmodernisierungsgesetzes</w:t>
      </w:r>
      <w:r>
        <w:t xml:space="preserve"> eine wichtige Änderung ergeben, die </w:t>
      </w:r>
      <w:r w:rsidR="00FD6AAD">
        <w:t xml:space="preserve">es </w:t>
      </w:r>
      <w:r>
        <w:t xml:space="preserve">bei der nächsten Einladung </w:t>
      </w:r>
      <w:r w:rsidR="00FD6AAD">
        <w:t xml:space="preserve">zu </w:t>
      </w:r>
      <w:r>
        <w:t xml:space="preserve">beachten </w:t>
      </w:r>
      <w:r w:rsidR="00FD6AAD">
        <w:t>gilt</w:t>
      </w:r>
      <w:r>
        <w:t>.</w:t>
      </w:r>
    </w:p>
    <w:p w14:paraId="00171D06" w14:textId="6D68AFEA" w:rsidR="00A17D84" w:rsidRDefault="00A17D84" w:rsidP="00A17D84">
      <w:pPr>
        <w:spacing w:after="140"/>
      </w:pPr>
      <w:r w:rsidRPr="00A52D89">
        <w:t xml:space="preserve">Die Laufzeitvorgaben für Briefe verlängern sich </w:t>
      </w:r>
      <w:r>
        <w:t xml:space="preserve">ab dem 01.01.2025 </w:t>
      </w:r>
      <w:r w:rsidRPr="00A52D89">
        <w:t xml:space="preserve">um einen Tag. Mussten Briefe bisher im Jahresdurchschnitt mit einer Wahrscheinlichkeit von 95 % am zweiten und </w:t>
      </w:r>
      <w:r w:rsidR="005E3315">
        <w:t xml:space="preserve">einer Wahrscheinlichkeit </w:t>
      </w:r>
      <w:r w:rsidRPr="00A52D89">
        <w:t xml:space="preserve">von 99 % am dritten Werktag nach dem Absenden beim Empfänger ankommen, müssen sie das künftig erst am </w:t>
      </w:r>
      <w:r w:rsidRPr="00A52D89">
        <w:rPr>
          <w:b/>
          <w:bCs/>
        </w:rPr>
        <w:t>dritten bzw. am vierten Werktag</w:t>
      </w:r>
      <w:r w:rsidRPr="00A52D89">
        <w:t xml:space="preserve">. Briefe </w:t>
      </w:r>
      <w:r>
        <w:t xml:space="preserve">werden auch </w:t>
      </w:r>
      <w:r w:rsidR="005E3315">
        <w:t>weiterhin</w:t>
      </w:r>
      <w:r>
        <w:t xml:space="preserve"> </w:t>
      </w:r>
      <w:r w:rsidRPr="00A52D89">
        <w:t>an sechs Tagen in der Woche zugestellt.</w:t>
      </w:r>
    </w:p>
    <w:p w14:paraId="75264810" w14:textId="3CDC88BE" w:rsidR="00BB0BA6" w:rsidRDefault="00A17D84" w:rsidP="00A17D84">
      <w:pPr>
        <w:spacing w:after="150"/>
        <w:sectPr w:rsidR="00BB0BA6">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Bei </w:t>
      </w:r>
      <w:r w:rsidR="00E1387A">
        <w:t xml:space="preserve">postalischen </w:t>
      </w:r>
      <w:r>
        <w:t xml:space="preserve">Einladungen zu Mitgliederversammlungen müssen Sie also </w:t>
      </w:r>
      <w:r w:rsidR="005E3315">
        <w:t xml:space="preserve">in Zukunft </w:t>
      </w:r>
      <w:r>
        <w:t xml:space="preserve">mit einer Laufzeit von vier Tagen rechnen. Für die Einhaltung der Ladungsfristen kommt es grundsätzlich auf den Zugang der Einladung beim Mitglied an, soweit die Satzung nichts anderes vorsieht. Alternativ können Sie auf </w:t>
      </w:r>
      <w:r w:rsidR="00E1387A">
        <w:t xml:space="preserve">eine </w:t>
      </w:r>
      <w:r>
        <w:t>Einladung</w:t>
      </w:r>
      <w:r w:rsidR="00E1387A">
        <w:t xml:space="preserve"> </w:t>
      </w:r>
    </w:p>
    <w:p w14:paraId="0903AC21" w14:textId="583CDF5B" w:rsidR="00A17D84" w:rsidRDefault="00E1387A" w:rsidP="00A17D84">
      <w:r>
        <w:lastRenderedPageBreak/>
        <w:t xml:space="preserve">per </w:t>
      </w:r>
      <w:r w:rsidR="00A17D84">
        <w:t xml:space="preserve">E-Mail ausweichen oder in der Satzung vorsehen, dass für die Berechnung der Ladungsfrist der </w:t>
      </w:r>
      <w:r w:rsidR="00A17D84">
        <w:rPr>
          <w:b/>
        </w:rPr>
        <w:t>Tag der Absendung</w:t>
      </w:r>
      <w:r w:rsidR="00A17D84">
        <w:t xml:space="preserve"> maßgeblich ist.</w:t>
      </w:r>
    </w:p>
    <w:p w14:paraId="6CEF32EB" w14:textId="11E0FC49" w:rsidR="00A17D84" w:rsidRDefault="00A17D84" w:rsidP="00A17D84">
      <w:pPr>
        <w:shd w:val="clear" w:color="auto" w:fill="E6E6E6"/>
        <w:spacing w:after="140"/>
        <w:ind w:left="284"/>
      </w:pPr>
      <w:r>
        <w:rPr>
          <w:b/>
        </w:rPr>
        <w:t>Hinweis:</w:t>
      </w:r>
      <w:r>
        <w:t xml:space="preserve"> Auch die Finanzverwaltung muss sich auf die geänderte Situation einstellen. Nach der bisherigen Zugangsfiktion gilt ein amtliches Schreiben (z.B. ein Steuerbescheid) nach drei Tagen als zugestellt</w:t>
      </w:r>
      <w:r w:rsidR="004E3521">
        <w:t>,</w:t>
      </w:r>
      <w:r>
        <w:t xml:space="preserve"> ab 2025 </w:t>
      </w:r>
      <w:r w:rsidR="004E3521">
        <w:t xml:space="preserve">dann erst nach </w:t>
      </w:r>
      <w:r>
        <w:t>vier Tage</w:t>
      </w:r>
      <w:r w:rsidR="004E3521">
        <w:t>n</w:t>
      </w:r>
      <w:r>
        <w:t>.</w:t>
      </w:r>
    </w:p>
    <w:p w14:paraId="2F8165C5" w14:textId="77777777" w:rsidR="00A17D84" w:rsidRDefault="00A17D84" w:rsidP="00A17D84">
      <w:pPr>
        <w:pStyle w:val="berschrift2"/>
      </w:pPr>
      <w:r>
        <w:t>Reitlehrerin</w:t>
      </w:r>
      <w:r>
        <w:tab/>
      </w:r>
    </w:p>
    <w:p w14:paraId="122A0EE9" w14:textId="77777777" w:rsidR="00A17D84" w:rsidRPr="00912D64" w:rsidRDefault="00A17D84" w:rsidP="00A17D84">
      <w:pPr>
        <w:pStyle w:val="berschrift1"/>
      </w:pPr>
      <w:r>
        <w:t xml:space="preserve">Wann eine </w:t>
      </w:r>
      <w:r w:rsidRPr="00912D64">
        <w:t xml:space="preserve">Beitragsnachforderung zur Sozialversicherung </w:t>
      </w:r>
      <w:r>
        <w:t>droht</w:t>
      </w:r>
    </w:p>
    <w:p w14:paraId="728ABA09" w14:textId="77777777" w:rsidR="00A17D84" w:rsidRDefault="00A17D84" w:rsidP="00A17D84">
      <w:r>
        <w:t xml:space="preserve">Ist eine </w:t>
      </w:r>
      <w:r w:rsidRPr="00897B67">
        <w:t>Reitlehrerin</w:t>
      </w:r>
      <w:r>
        <w:t xml:space="preserve">, die für einen </w:t>
      </w:r>
      <w:r w:rsidRPr="00897B67">
        <w:t>gemeinnützige</w:t>
      </w:r>
      <w:r>
        <w:t>n</w:t>
      </w:r>
      <w:r w:rsidRPr="00897B67">
        <w:t xml:space="preserve"> Verein zur Förderung des Pferdesports</w:t>
      </w:r>
      <w:r>
        <w:t xml:space="preserve"> Reitunterricht anbietet, </w:t>
      </w:r>
      <w:r w:rsidRPr="00897B67">
        <w:t xml:space="preserve">selbständig tätig oder </w:t>
      </w:r>
      <w:r w:rsidRPr="00EF2ABF">
        <w:rPr>
          <w:b/>
          <w:bCs/>
        </w:rPr>
        <w:t>abhängig beschäftigt</w:t>
      </w:r>
      <w:r>
        <w:t>? Diese Frage hat das Landessozialgericht Hessen (LSG) beantwortet.</w:t>
      </w:r>
    </w:p>
    <w:p w14:paraId="4F0FF0B7" w14:textId="133DD03B" w:rsidR="00A17D84" w:rsidRPr="00EB29DA" w:rsidRDefault="00A17D84" w:rsidP="00A17D84">
      <w:r>
        <w:t xml:space="preserve">Die </w:t>
      </w:r>
      <w:r w:rsidR="004E3521">
        <w:t xml:space="preserve">Reitlehrerin </w:t>
      </w:r>
      <w:r>
        <w:t xml:space="preserve">unterrichtete Vereinsmitglieder mit den vereinseigenen Schulpferden (einschließlich Sättel und Zaumzeug) auf dem Vereinsgelände (Reithalle/Freiplatz). Sie war durchschnittlich an drei Tagen pro Woche tätig (zwischen zwölf und 20 Stunden wöchentlich). Der Verein zahlte ihr 18 € für eine Reitstunde und 8 € für eine </w:t>
      </w:r>
      <w:proofErr w:type="spellStart"/>
      <w:r>
        <w:t>Longenstunde</w:t>
      </w:r>
      <w:proofErr w:type="spellEnd"/>
      <w:r>
        <w:t>. Schriftliche Vereinbarungen gab es nicht</w:t>
      </w:r>
      <w:r w:rsidR="004B42C8">
        <w:t xml:space="preserve">. </w:t>
      </w:r>
      <w:r>
        <w:t xml:space="preserve">Haupteinnahmequelle </w:t>
      </w:r>
      <w:r w:rsidR="004B42C8">
        <w:t xml:space="preserve">der Reitlehrerin </w:t>
      </w:r>
      <w:r>
        <w:t xml:space="preserve">war ihre selbständige Tätigkeit als Richterin im Reitsport. Im Rahmen einer </w:t>
      </w:r>
      <w:r w:rsidRPr="00C8045D">
        <w:rPr>
          <w:b/>
          <w:bCs/>
        </w:rPr>
        <w:t>Betriebsprüfung</w:t>
      </w:r>
      <w:r>
        <w:t xml:space="preserve"> stellte d</w:t>
      </w:r>
      <w:r w:rsidRPr="00EB29DA">
        <w:t xml:space="preserve">ie Deutsche Rentenversicherung fest, die Reitlehrerin </w:t>
      </w:r>
      <w:r w:rsidR="000A3AB8">
        <w:t xml:space="preserve">sei </w:t>
      </w:r>
      <w:r w:rsidRPr="00EB29DA">
        <w:t>abhängig beschäftigt</w:t>
      </w:r>
      <w:r w:rsidR="004B42C8">
        <w:t>,</w:t>
      </w:r>
      <w:r w:rsidRPr="00EB29DA">
        <w:t xml:space="preserve"> und forderte von dem Verein Rentenversicherungsbeiträge nach. </w:t>
      </w:r>
      <w:r w:rsidR="000A3AB8">
        <w:t>Dagegen</w:t>
      </w:r>
      <w:r w:rsidRPr="00EB29DA">
        <w:t xml:space="preserve"> </w:t>
      </w:r>
      <w:r>
        <w:t xml:space="preserve">klagte </w:t>
      </w:r>
      <w:r w:rsidR="000A3AB8">
        <w:t>dieser</w:t>
      </w:r>
      <w:r>
        <w:t xml:space="preserve">, weil </w:t>
      </w:r>
      <w:r w:rsidRPr="00EB29DA">
        <w:t xml:space="preserve">die Reitlehrerin </w:t>
      </w:r>
      <w:r>
        <w:t xml:space="preserve">seiner Ansicht nach </w:t>
      </w:r>
      <w:r w:rsidRPr="00EB29DA">
        <w:t xml:space="preserve">selbständig tätig </w:t>
      </w:r>
      <w:r>
        <w:t>war</w:t>
      </w:r>
      <w:r w:rsidRPr="00EB29DA">
        <w:t>.</w:t>
      </w:r>
    </w:p>
    <w:p w14:paraId="319289A7" w14:textId="6DD8802B" w:rsidR="00A17D84" w:rsidRDefault="00000000" w:rsidP="00A17D84">
      <w:r>
        <w:rPr>
          <w:noProof/>
        </w:rPr>
        <w:pict w14:anchorId="759F3D94">
          <v:shapetype id="_x0000_t202" coordsize="21600,21600" o:spt="202" path="m,l,21600r21600,l21600,xe">
            <v:stroke joinstyle="miter"/>
            <v:path gradientshapeok="t" o:connecttype="rect"/>
          </v:shapetype>
          <v:shape id="_x0000_s2069" type="#_x0000_t202" style="position:absolute;left:0;text-align:left;margin-left:-7.85pt;margin-top:707.5pt;width:492pt;height:60pt;flip:y;z-index:1;mso-position-horizontal-relative:margin;mso-position-vertical-relative:margin" filled="f" stroked="f">
            <v:textbox style="mso-next-textbox:#_x0000_s2069">
              <w:txbxContent>
                <w:p w14:paraId="4D5A6EE0" w14:textId="77777777" w:rsidR="00A90B8A" w:rsidRDefault="00A90B8A" w:rsidP="00A90B8A">
                  <w:pPr>
                    <w:tabs>
                      <w:tab w:val="right" w:pos="9498"/>
                    </w:tabs>
                    <w:spacing w:after="0" w:line="170" w:lineRule="exact"/>
                    <w:rPr>
                      <w:rFonts w:ascii="Arial" w:hAnsi="Arial"/>
                      <w:sz w:val="16"/>
                    </w:rPr>
                  </w:pPr>
                  <w:r>
                    <w:rPr>
                      <w:rFonts w:ascii="Arial" w:hAnsi="Arial"/>
                      <w:spacing w:val="-2"/>
                      <w:sz w:val="16"/>
                      <w:szCs w:val="16"/>
                    </w:rPr>
                    <w:t>                                                                                                                                                                                                                                                                                                                                                                                                                                                                                                                                                                                                                                                                                                                                                                                                                                                                                                                                                                                                                                                                                                        </w:t>
                  </w:r>
                </w:p>
                <w:p w14:paraId="215C62A4" w14:textId="77777777" w:rsidR="00A90B8A" w:rsidRDefault="00A90B8A" w:rsidP="00A90B8A">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A17D84" w:rsidRPr="00EB29DA">
        <w:t xml:space="preserve">Das LSG </w:t>
      </w:r>
      <w:r w:rsidR="00A17D84">
        <w:t xml:space="preserve">hat die </w:t>
      </w:r>
      <w:r w:rsidR="00A17D84" w:rsidRPr="00EB29DA">
        <w:t xml:space="preserve">Beitragsnachforderung </w:t>
      </w:r>
      <w:r w:rsidR="00A17D84">
        <w:t xml:space="preserve">als </w:t>
      </w:r>
      <w:r w:rsidR="00A17D84" w:rsidRPr="00EB29DA">
        <w:t>recht</w:t>
      </w:r>
      <w:r w:rsidR="00A17D84">
        <w:softHyphen/>
      </w:r>
      <w:r w:rsidR="00A17D84" w:rsidRPr="00EB29DA">
        <w:t xml:space="preserve">mäßig </w:t>
      </w:r>
      <w:r w:rsidR="00A17D84">
        <w:t xml:space="preserve">beurteilt, </w:t>
      </w:r>
      <w:r w:rsidR="00A17D84">
        <w:t xml:space="preserve">weil </w:t>
      </w:r>
      <w:r w:rsidR="00A17D84">
        <w:t>e</w:t>
      </w:r>
      <w:r w:rsidR="00A17D84" w:rsidRPr="00EB29DA">
        <w:t>ine abhängige Beschäftigung vor</w:t>
      </w:r>
      <w:r w:rsidR="00A17D84">
        <w:t>liege</w:t>
      </w:r>
      <w:r w:rsidR="00A17D84" w:rsidRPr="00EB29DA">
        <w:t xml:space="preserve">. </w:t>
      </w:r>
      <w:r w:rsidR="00A17D84">
        <w:t>N</w:t>
      </w:r>
      <w:r w:rsidR="00A17D84" w:rsidRPr="00EB29DA">
        <w:t>ebenberuflich</w:t>
      </w:r>
      <w:r w:rsidR="00A17D84">
        <w:t xml:space="preserve"> tätig</w:t>
      </w:r>
      <w:r w:rsidR="00A17D84" w:rsidRPr="00EB29DA">
        <w:t xml:space="preserve">e Trainer in Sportvereinen </w:t>
      </w:r>
      <w:r w:rsidR="00A17D84">
        <w:t xml:space="preserve">könnten zwar </w:t>
      </w:r>
      <w:r w:rsidR="00A17D84" w:rsidRPr="00EB29DA">
        <w:t xml:space="preserve">auch selbständig tätig sein, </w:t>
      </w:r>
      <w:r w:rsidR="00A17D84">
        <w:t>e</w:t>
      </w:r>
      <w:r w:rsidR="00A17D84" w:rsidRPr="00EB29DA">
        <w:t xml:space="preserve">in </w:t>
      </w:r>
      <w:r w:rsidR="00A17D84">
        <w:t>entsprechender</w:t>
      </w:r>
      <w:r w:rsidR="00A17D84" w:rsidRPr="00EB29DA">
        <w:t xml:space="preserve"> Vertrag sei </w:t>
      </w:r>
      <w:r w:rsidR="00A17D84">
        <w:t xml:space="preserve">aber </w:t>
      </w:r>
      <w:r w:rsidR="00A17D84" w:rsidRPr="00EB29DA">
        <w:t xml:space="preserve">zwischen dem Reitverein und der Reitlehrerin nicht geschlossen worden. </w:t>
      </w:r>
      <w:r w:rsidR="00A17D84">
        <w:t xml:space="preserve">Gegen eine selbständige Tätigkeit </w:t>
      </w:r>
      <w:r w:rsidR="000A3AB8">
        <w:t xml:space="preserve">spreche </w:t>
      </w:r>
      <w:r w:rsidR="00A17D84">
        <w:t xml:space="preserve">insbesondere das fehlende </w:t>
      </w:r>
      <w:r w:rsidR="00A17D84">
        <w:rPr>
          <w:b/>
        </w:rPr>
        <w:t>Unternehmerrisiko</w:t>
      </w:r>
      <w:r w:rsidR="00A17D84" w:rsidRPr="00C8045D">
        <w:rPr>
          <w:bCs/>
        </w:rPr>
        <w:t>.</w:t>
      </w:r>
      <w:r w:rsidR="00A17D84">
        <w:rPr>
          <w:bCs/>
        </w:rPr>
        <w:t xml:space="preserve"> D</w:t>
      </w:r>
      <w:r w:rsidR="00A17D84" w:rsidRPr="00EB29DA">
        <w:t xml:space="preserve">ie </w:t>
      </w:r>
      <w:r w:rsidR="00A17D84">
        <w:t xml:space="preserve">Reitlehrerin </w:t>
      </w:r>
      <w:r w:rsidR="00A17D84" w:rsidRPr="00EB29DA">
        <w:t xml:space="preserve">habe keine Rechnungen erstellt und ausschließlich die Pferde </w:t>
      </w:r>
      <w:r w:rsidR="00A17D84">
        <w:t>des Vereins inklusive</w:t>
      </w:r>
      <w:r w:rsidR="00A17D84" w:rsidRPr="00EB29DA">
        <w:t xml:space="preserve"> </w:t>
      </w:r>
      <w:r w:rsidR="000A3AB8" w:rsidRPr="00EB29DA">
        <w:t>S</w:t>
      </w:r>
      <w:r w:rsidR="000A3AB8">
        <w:t>ä</w:t>
      </w:r>
      <w:r w:rsidR="000A3AB8" w:rsidRPr="00EB29DA">
        <w:t xml:space="preserve">ttel </w:t>
      </w:r>
      <w:r w:rsidR="00A17D84" w:rsidRPr="00EB29DA">
        <w:t xml:space="preserve">und Zaumzeug genutzt, wofür sie </w:t>
      </w:r>
      <w:r w:rsidR="00A17D84">
        <w:t>-</w:t>
      </w:r>
      <w:r w:rsidR="00A17D84" w:rsidRPr="00EB29DA">
        <w:t xml:space="preserve"> </w:t>
      </w:r>
      <w:r w:rsidR="00A17D84">
        <w:t xml:space="preserve">ebenso wie </w:t>
      </w:r>
      <w:r w:rsidR="00A17D84" w:rsidRPr="00EB29DA">
        <w:t>für die Nutzung der Reithalle - kein Entgelt gezahlt habe.</w:t>
      </w:r>
      <w:r w:rsidR="00A17D84" w:rsidRPr="00C8045D">
        <w:t xml:space="preserve"> </w:t>
      </w:r>
      <w:r w:rsidR="00A17D84">
        <w:t>Zudem seien die Reitstunden nur über die Homepage des Vereins (</w:t>
      </w:r>
      <w:r w:rsidR="00A17D84" w:rsidRPr="00EB29DA">
        <w:t>mit „unsere Reitlehrerin“</w:t>
      </w:r>
      <w:r w:rsidR="00A17D84">
        <w:t>)</w:t>
      </w:r>
      <w:r w:rsidR="00A17D84" w:rsidRPr="00EB29DA">
        <w:t xml:space="preserve"> </w:t>
      </w:r>
      <w:r w:rsidR="00A17D84">
        <w:t xml:space="preserve">beworben worden. Da die Deutsche </w:t>
      </w:r>
      <w:r w:rsidR="00A17D84" w:rsidRPr="00EB29DA">
        <w:t xml:space="preserve">Rentenversicherung nur die Einkünfte </w:t>
      </w:r>
      <w:r w:rsidR="00A17D84">
        <w:t xml:space="preserve">oberhalb des Übungsleiter-Freibetrags </w:t>
      </w:r>
      <w:r w:rsidR="00A17D84" w:rsidRPr="00EB29DA">
        <w:t>bei der Beitragsberechnung berücksichtigt</w:t>
      </w:r>
      <w:r w:rsidR="00A17D84">
        <w:t>e</w:t>
      </w:r>
      <w:r w:rsidR="00A17D84" w:rsidRPr="00EB29DA">
        <w:t xml:space="preserve">, </w:t>
      </w:r>
      <w:r w:rsidR="00A17D84">
        <w:t>hielt das LSG</w:t>
      </w:r>
      <w:r w:rsidR="00A17D84" w:rsidRPr="00EB29DA">
        <w:t xml:space="preserve"> auch die Höhe der Beitrags</w:t>
      </w:r>
      <w:r w:rsidR="00A17D84">
        <w:t>nach</w:t>
      </w:r>
      <w:r w:rsidR="00A17D84" w:rsidRPr="00EB29DA">
        <w:t xml:space="preserve">forderung </w:t>
      </w:r>
      <w:r w:rsidR="00A17D84">
        <w:t xml:space="preserve">für </w:t>
      </w:r>
      <w:r w:rsidR="00A17D84" w:rsidRPr="00EB29DA">
        <w:t>zutreffend.</w:t>
      </w:r>
    </w:p>
    <w:p w14:paraId="5DB79818" w14:textId="77777777" w:rsidR="00A17D84" w:rsidRDefault="00A17D84" w:rsidP="00A17D84">
      <w:pPr>
        <w:pStyle w:val="berschrift2"/>
      </w:pPr>
      <w:r>
        <w:t>Steuertipp</w:t>
      </w:r>
      <w:r>
        <w:tab/>
      </w:r>
    </w:p>
    <w:p w14:paraId="6752B50C" w14:textId="77777777" w:rsidR="00A17D84" w:rsidRPr="00006922" w:rsidRDefault="00A17D84" w:rsidP="00A17D84">
      <w:pPr>
        <w:pStyle w:val="berschrift1"/>
      </w:pPr>
      <w:r>
        <w:t>E</w:t>
      </w:r>
      <w:r w:rsidRPr="00006922">
        <w:t>lektronische Rechnung</w:t>
      </w:r>
      <w:r>
        <w:t xml:space="preserve"> wird Pflicht</w:t>
      </w:r>
    </w:p>
    <w:p w14:paraId="6AF86F83" w14:textId="77777777" w:rsidR="00A17D84" w:rsidRPr="00912D64" w:rsidRDefault="00A17D84" w:rsidP="00A17D84">
      <w:r>
        <w:t>Das</w:t>
      </w:r>
      <w:r w:rsidRPr="00006922">
        <w:t xml:space="preserve"> Finanzministerium Mecklenburg-Vorpom</w:t>
      </w:r>
      <w:r>
        <w:softHyphen/>
      </w:r>
      <w:r w:rsidRPr="00006922">
        <w:t xml:space="preserve">mern </w:t>
      </w:r>
      <w:r>
        <w:t xml:space="preserve">hat vor dem Hintergrund der </w:t>
      </w:r>
      <w:r w:rsidRPr="00912D64">
        <w:t>Einführung der Pflicht zur elektronischen Rechnung</w:t>
      </w:r>
      <w:r>
        <w:t xml:space="preserve"> w</w:t>
      </w:r>
      <w:r w:rsidRPr="00912D64">
        <w:t>ichtige Infos für Vereine</w:t>
      </w:r>
      <w:r>
        <w:t xml:space="preserve"> zusammengestellt:</w:t>
      </w:r>
    </w:p>
    <w:p w14:paraId="57DAF2D8" w14:textId="416DC7BD" w:rsidR="00A17D84" w:rsidRDefault="00A17D84" w:rsidP="00A17D84">
      <w:r w:rsidRPr="00006922">
        <w:rPr>
          <w:b/>
          <w:bCs/>
        </w:rPr>
        <w:t xml:space="preserve">Ab dem </w:t>
      </w:r>
      <w:r w:rsidRPr="00912D64">
        <w:rPr>
          <w:b/>
          <w:bCs/>
        </w:rPr>
        <w:t>0</w:t>
      </w:r>
      <w:r w:rsidRPr="00006922">
        <w:rPr>
          <w:b/>
          <w:bCs/>
        </w:rPr>
        <w:t>1.</w:t>
      </w:r>
      <w:r w:rsidRPr="00912D64">
        <w:rPr>
          <w:b/>
          <w:bCs/>
        </w:rPr>
        <w:t>0</w:t>
      </w:r>
      <w:r w:rsidRPr="00006922">
        <w:rPr>
          <w:b/>
          <w:bCs/>
        </w:rPr>
        <w:t>1.2025</w:t>
      </w:r>
      <w:r w:rsidRPr="00006922">
        <w:t xml:space="preserve"> müssen Unternehmen in Deutschland elektronische Rechnungen ausstellen, wenn sie anderen Unternehmen (z.B. Einzelhandel, Gewerbebetriebe, gemeinnützige Einrichtungen) Waren verkaufen oder Dienstleistungen erbringen. E-Rechnungen sind digitale Rechnungen, die in einem speziellen Format vorliegen, das von Computern gelesen werden kann, damit sie leicht verarbeitet werden können.</w:t>
      </w:r>
    </w:p>
    <w:p w14:paraId="05A324DC" w14:textId="05D3712F" w:rsidR="00A17D84" w:rsidRPr="00006922" w:rsidRDefault="00A17D84" w:rsidP="00A17D84">
      <w:r w:rsidRPr="00006922">
        <w:t>Diese neue Regel</w:t>
      </w:r>
      <w:r w:rsidR="00386BC2">
        <w:t>ung</w:t>
      </w:r>
      <w:r w:rsidRPr="00006922">
        <w:t xml:space="preserve"> gilt auch für </w:t>
      </w:r>
      <w:r w:rsidRPr="00006922">
        <w:rPr>
          <w:b/>
          <w:bCs/>
        </w:rPr>
        <w:t>gemeinnützige Vereine</w:t>
      </w:r>
      <w:r w:rsidRPr="00006922">
        <w:t xml:space="preserve">, wenn sie Dienstleistungen oder Produkte an andere Unternehmen erbringen bzw. verkaufen. Auch wenn ein Verein die Kleinunternehmerregelung für die Umsatzsteuer gewählt hat, gilt </w:t>
      </w:r>
      <w:r w:rsidR="00EF2ABF">
        <w:t xml:space="preserve">für ihn </w:t>
      </w:r>
      <w:r w:rsidRPr="00006922">
        <w:t>die Pflicht zur E-Rechnung. Das bedeutet, dass E-Rechnungen in allen Bereichen (Sphären) eines Vereins erstellt werden müssen, in denen Waren oder Dienstleistungen verkauft werden</w:t>
      </w:r>
      <w:r>
        <w:t>. B</w:t>
      </w:r>
      <w:r w:rsidRPr="00006922">
        <w:t xml:space="preserve">etroffen </w:t>
      </w:r>
      <w:r w:rsidR="003C7D5D">
        <w:t xml:space="preserve">sein </w:t>
      </w:r>
      <w:r w:rsidRPr="00006922">
        <w:t xml:space="preserve">können </w:t>
      </w:r>
      <w:r w:rsidR="00386BC2">
        <w:t>folglich</w:t>
      </w:r>
      <w:r w:rsidR="00E1030D" w:rsidRPr="00006922">
        <w:t xml:space="preserve"> </w:t>
      </w:r>
      <w:r w:rsidRPr="00006922">
        <w:t>die Sphären der Zweckbetriebe, der Vermögensverwaltung oder der steuerpflichtigen wirtschaftlichen Geschäftsbetriebe.</w:t>
      </w:r>
    </w:p>
    <w:p w14:paraId="5EC9BDF9" w14:textId="76FA40F0" w:rsidR="00A17D84" w:rsidRPr="00006922" w:rsidRDefault="00A17D84" w:rsidP="00A17D84">
      <w:r w:rsidRPr="00006922">
        <w:t xml:space="preserve">Allerdings </w:t>
      </w:r>
      <w:r w:rsidRPr="00006922">
        <w:t xml:space="preserve">gibt </w:t>
      </w:r>
      <w:r w:rsidRPr="00006922">
        <w:t xml:space="preserve">es </w:t>
      </w:r>
      <w:r w:rsidRPr="00006922">
        <w:rPr>
          <w:b/>
          <w:bCs/>
        </w:rPr>
        <w:t>Übergangsfristen</w:t>
      </w:r>
      <w:r w:rsidRPr="00006922">
        <w:t xml:space="preserve">: Wenn der Verein im jeweiligen Vorjahr </w:t>
      </w:r>
      <w:r w:rsidRPr="00006922">
        <w:t xml:space="preserve">weniger </w:t>
      </w:r>
      <w:r w:rsidRPr="00006922">
        <w:t>als 800.000 € Umsatz erzielt hat, dürfen bis Ende 2027 weiterhin Papier</w:t>
      </w:r>
      <w:r w:rsidRPr="00006922">
        <w:t>-</w:t>
      </w:r>
      <w:r w:rsidRPr="00006922">
        <w:t xml:space="preserve"> oder mit Zustimmung des Leistungsempfängers einfache digitale Rechnungen ausgestellt werden. Für Kleinbetragsrechnungen bis 250 € (und Fahrausweise) gibt es eine Ausnahme von der </w:t>
      </w:r>
      <w:r w:rsidR="00386BC2">
        <w:t>Pflicht zur E-Rechnung</w:t>
      </w:r>
      <w:r w:rsidRPr="00006922">
        <w:t>.</w:t>
      </w:r>
    </w:p>
    <w:p w14:paraId="7C89E02E" w14:textId="5145221C" w:rsidR="00A17D84" w:rsidRPr="00006922" w:rsidRDefault="00A17D84" w:rsidP="00A17D84">
      <w:r w:rsidRPr="00006922">
        <w:t xml:space="preserve">Vereine sollten sich </w:t>
      </w:r>
      <w:r w:rsidR="00EF2ABF">
        <w:t>aber</w:t>
      </w:r>
      <w:r w:rsidR="00777B2F" w:rsidRPr="00006922">
        <w:t xml:space="preserve"> </w:t>
      </w:r>
      <w:r w:rsidRPr="00006922">
        <w:t xml:space="preserve">darauf vorbereiten, ab dem 01.01.2025 </w:t>
      </w:r>
      <w:r w:rsidRPr="00006922">
        <w:rPr>
          <w:b/>
          <w:bCs/>
        </w:rPr>
        <w:t>E-Rechnungen empfangen</w:t>
      </w:r>
      <w:r w:rsidRPr="00006922">
        <w:t xml:space="preserve"> zu können (</w:t>
      </w:r>
      <w:r w:rsidR="00EF2ABF">
        <w:t>z.B.</w:t>
      </w:r>
      <w:r w:rsidRPr="00006922">
        <w:t xml:space="preserve"> als </w:t>
      </w:r>
      <w:r w:rsidR="00A90B8A">
        <w:t>E-Mail-</w:t>
      </w:r>
      <w:r w:rsidRPr="00006922">
        <w:t xml:space="preserve">Anhang), die </w:t>
      </w:r>
      <w:r w:rsidR="00A90B8A">
        <w:t xml:space="preserve">sich </w:t>
      </w:r>
      <w:r w:rsidRPr="00006922">
        <w:t xml:space="preserve">den Sphären Zweckbetrieb, Vermögensverwaltung und steuerpflichtiger wirtschaftlicher Geschäftsbetrieb zuordnen </w:t>
      </w:r>
      <w:r w:rsidR="00A90B8A">
        <w:t>lass</w:t>
      </w:r>
      <w:r w:rsidRPr="00006922">
        <w:t xml:space="preserve">en. </w:t>
      </w:r>
      <w:r w:rsidR="00A90B8A">
        <w:t>Denn f</w:t>
      </w:r>
      <w:r w:rsidRPr="00006922">
        <w:t>ür den E-Rech</w:t>
      </w:r>
      <w:r w:rsidR="00EF2ABF">
        <w:softHyphen/>
      </w:r>
      <w:r w:rsidRPr="00006922">
        <w:t>nung</w:t>
      </w:r>
      <w:r w:rsidR="00777B2F">
        <w:t>sempfang</w:t>
      </w:r>
      <w:r w:rsidRPr="00006922">
        <w:t xml:space="preserve"> </w:t>
      </w:r>
      <w:r w:rsidR="00A90B8A">
        <w:t>gilt</w:t>
      </w:r>
      <w:r w:rsidRPr="00006922">
        <w:t xml:space="preserve"> keine Übergangsfrist.</w:t>
      </w:r>
    </w:p>
    <w:p w14:paraId="506A4609" w14:textId="77777777" w:rsidR="00A17D84" w:rsidRPr="00006922" w:rsidRDefault="00A17D84" w:rsidP="00A17D84">
      <w:pPr>
        <w:shd w:val="clear" w:color="auto" w:fill="E6E6E6"/>
        <w:ind w:left="284"/>
      </w:pPr>
      <w:r w:rsidRPr="00843550">
        <w:rPr>
          <w:b/>
          <w:bCs/>
        </w:rPr>
        <w:t>Hinweis:</w:t>
      </w:r>
      <w:r>
        <w:t xml:space="preserve"> </w:t>
      </w:r>
      <w:r w:rsidRPr="00006922">
        <w:t>Um weitere Fragen zu klären, wird das Bundesfinanzministerium voraussichtlich im dritten Quartal 2024 ein offizielles Schreiben mit weiteren Details veröffentlichen.</w:t>
      </w:r>
    </w:p>
    <w:p w14:paraId="276D8F41" w14:textId="77777777" w:rsidR="00BE1449" w:rsidRDefault="00F91FB1" w:rsidP="00F91FB1">
      <w:pPr>
        <w:jc w:val="right"/>
      </w:pPr>
      <w:r>
        <w:t>Mit freundlichen Grüßen</w:t>
      </w:r>
    </w:p>
    <w:p w14:paraId="311D66B6" w14:textId="77777777" w:rsidR="00D94A15" w:rsidRDefault="00D94A15" w:rsidP="00F91FB1">
      <w:pPr>
        <w:jc w:val="right"/>
      </w:pPr>
    </w:p>
    <w:p w14:paraId="4FFA3380" w14:textId="77777777" w:rsidR="00F91FB1" w:rsidRDefault="00F91FB1" w:rsidP="00F91FB1">
      <w:pPr>
        <w:jc w:val="right"/>
      </w:pPr>
    </w:p>
    <w:p w14:paraId="4C96981B" w14:textId="77777777" w:rsidR="00BE31C5" w:rsidRDefault="00BE31C5" w:rsidP="00F91FB1">
      <w:pPr>
        <w:jc w:val="right"/>
      </w:pPr>
    </w:p>
    <w:sectPr w:rsidR="00BE31C5" w:rsidSect="00BE1449">
      <w:headerReference w:type="even" r:id="rId10"/>
      <w:headerReference w:type="default" r:id="rId11"/>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3249B" w14:textId="77777777" w:rsidR="004F7279" w:rsidRDefault="004F7279">
      <w:r>
        <w:separator/>
      </w:r>
    </w:p>
  </w:endnote>
  <w:endnote w:type="continuationSeparator" w:id="0">
    <w:p w14:paraId="5C46F0A6" w14:textId="77777777" w:rsidR="004F7279" w:rsidRDefault="004F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6E6D4" w14:textId="77777777" w:rsidR="004F7279" w:rsidRDefault="004F7279">
      <w:r>
        <w:separator/>
      </w:r>
    </w:p>
  </w:footnote>
  <w:footnote w:type="continuationSeparator" w:id="0">
    <w:p w14:paraId="4ACDB20A" w14:textId="77777777" w:rsidR="004F7279" w:rsidRDefault="004F7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BA2F7" w14:textId="74D5F0C1" w:rsidR="00DC5715" w:rsidRDefault="00DC5715">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A90B8A">
      <w:rPr>
        <w:rFonts w:ascii="Arial" w:hAnsi="Arial" w:cs="Arial"/>
        <w:sz w:val="16"/>
      </w:rPr>
      <w:t>10/24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E1387A">
      <w:rPr>
        <w:rFonts w:ascii="Arial" w:hAnsi="Arial" w:cs="Arial"/>
        <w:noProof/>
        <w:sz w:val="16"/>
      </w:rPr>
      <w:t>4</w:t>
    </w:r>
    <w:r>
      <w:rPr>
        <w:rFonts w:ascii="Arial" w:hAnsi="Arial" w:cs="Arial"/>
        <w:sz w:val="16"/>
      </w:rPr>
      <w:fldChar w:fldCharType="end"/>
    </w:r>
  </w:p>
  <w:p w14:paraId="1927C4FC" w14:textId="77777777" w:rsidR="00DC5715" w:rsidRDefault="00DC5715">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482EF" w14:textId="71718E97" w:rsidR="00DC5715" w:rsidRDefault="00DC5715">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A90B8A">
      <w:rPr>
        <w:rFonts w:ascii="Arial" w:hAnsi="Arial" w:cs="Arial"/>
        <w:sz w:val="16"/>
      </w:rPr>
      <w:t>10/24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422E24">
      <w:rPr>
        <w:rFonts w:ascii="Arial" w:hAnsi="Arial" w:cs="Arial"/>
        <w:noProof/>
        <w:sz w:val="16"/>
      </w:rPr>
      <w:t>3</w:t>
    </w:r>
    <w:r>
      <w:rPr>
        <w:rFonts w:ascii="Arial" w:hAnsi="Arial" w:cs="Arial"/>
        <w:sz w:val="16"/>
      </w:rPr>
      <w:fldChar w:fldCharType="end"/>
    </w:r>
  </w:p>
  <w:p w14:paraId="4F0FF5BF" w14:textId="77777777" w:rsidR="00DC5715" w:rsidRDefault="00DC5715">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E76C" w14:textId="77777777" w:rsidR="00DC5715" w:rsidRDefault="00DC5715">
    <w:pPr>
      <w:spacing w:before="2200" w:line="280" w:lineRule="exact"/>
      <w:jc w:val="center"/>
      <w:rPr>
        <w:b/>
        <w:bCs/>
        <w:sz w:val="28"/>
      </w:rPr>
    </w:pPr>
    <w:r>
      <w:rPr>
        <w:b/>
        <w:bCs/>
        <w:sz w:val="28"/>
      </w:rPr>
      <w:t xml:space="preserve"> </w:t>
    </w:r>
  </w:p>
  <w:p w14:paraId="2C36F127" w14:textId="77777777" w:rsidR="00DC5715" w:rsidRDefault="00DC5715">
    <w:pPr>
      <w:jc w:val="center"/>
      <w:rPr>
        <w:rFonts w:ascii="Arial" w:hAnsi="Arial" w:cs="Arial"/>
        <w:sz w:val="20"/>
      </w:rPr>
    </w:pPr>
    <w:r>
      <w:rPr>
        <w:rFonts w:ascii="Arial" w:hAnsi="Arial" w:cs="Arial"/>
        <w:sz w:val="20"/>
      </w:rPr>
      <w:t xml:space="preserve"> </w:t>
    </w:r>
  </w:p>
  <w:p w14:paraId="52CE339E" w14:textId="77777777" w:rsidR="00DC5715" w:rsidRDefault="00DC5715">
    <w:pPr>
      <w:spacing w:after="800"/>
      <w:jc w:val="center"/>
      <w:rPr>
        <w:rFonts w:ascii="Arial" w:hAnsi="Arial" w:cs="Arial"/>
        <w:sz w:val="18"/>
      </w:rPr>
    </w:pPr>
    <w:r>
      <w:rPr>
        <w:rFonts w:ascii="Arial" w:hAnsi="Arial" w:cs="Arial"/>
        <w:sz w:val="20"/>
      </w:rPr>
      <w:t xml:space="preserve"> </w:t>
    </w:r>
  </w:p>
  <w:p w14:paraId="4B9F150E" w14:textId="77777777" w:rsidR="00DC5715" w:rsidRDefault="00000000">
    <w:pPr>
      <w:rPr>
        <w:rFonts w:ascii="Helvetica" w:hAnsi="Helvetica"/>
      </w:rPr>
    </w:pPr>
    <w:r>
      <w:rPr>
        <w:noProof/>
        <w:sz w:val="20"/>
      </w:rPr>
      <w:pict w14:anchorId="06FEF102">
        <v:line id="_x0000_s1025" style="position:absolute;left:0;text-align:left;z-index:1" from="-1.35pt,7.15pt" to="474.85pt,7.15pt" strokeweight="1.5pt"/>
      </w:pict>
    </w:r>
  </w:p>
  <w:p w14:paraId="30F7A011" w14:textId="77777777" w:rsidR="00DC5715" w:rsidRPr="003A7B0B" w:rsidRDefault="00DC5715">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26C467D2" w14:textId="77777777" w:rsidR="00DC5715"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7D707B12">
        <v:line id="_x0000_s1026" style="position:absolute;left:0;text-align:left;z-index:2" from="-1.35pt,7.15pt" to="474.85pt,7.15pt" strokeweight="1.5pt"/>
      </w:pict>
    </w:r>
  </w:p>
  <w:p w14:paraId="57CFAD3E" w14:textId="0D74D39B" w:rsidR="00DC5715" w:rsidRDefault="00DC5715">
    <w:pPr>
      <w:pStyle w:val="berschrift"/>
      <w:spacing w:before="400" w:after="400"/>
      <w:jc w:val="right"/>
    </w:pPr>
    <w:r>
      <w:t>Im Oktober 202</w:t>
    </w:r>
    <w:r w:rsidR="00A90B8A">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0B7F7" w14:textId="17DA0F2C" w:rsidR="00DC5715" w:rsidRDefault="00DC5715"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A90B8A">
      <w:rPr>
        <w:rFonts w:ascii="Arial" w:hAnsi="Arial" w:cs="Arial"/>
        <w:sz w:val="16"/>
      </w:rPr>
      <w:t>10/24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77B2F">
      <w:rPr>
        <w:rFonts w:ascii="Arial" w:hAnsi="Arial" w:cs="Arial"/>
        <w:noProof/>
        <w:sz w:val="16"/>
      </w:rPr>
      <w:t>4</w:t>
    </w:r>
    <w:r>
      <w:rPr>
        <w:rFonts w:ascii="Arial" w:hAnsi="Arial" w:cs="Arial"/>
        <w:sz w:val="16"/>
      </w:rPr>
      <w:fldChar w:fldCharType="end"/>
    </w:r>
  </w:p>
  <w:p w14:paraId="0BFE4A43" w14:textId="77777777" w:rsidR="00DC5715" w:rsidRDefault="00DC5715"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E064" w14:textId="77777777" w:rsidR="00DC5715" w:rsidRDefault="00DC5715">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9BD2FBA" w14:textId="77777777" w:rsidR="00DC5715" w:rsidRDefault="00DC5715">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F3678E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E157D7"/>
    <w:multiLevelType w:val="multilevel"/>
    <w:tmpl w:val="4796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B6784"/>
    <w:multiLevelType w:val="multilevel"/>
    <w:tmpl w:val="236A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FE1EE3"/>
    <w:multiLevelType w:val="multilevel"/>
    <w:tmpl w:val="626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75340822">
    <w:abstractNumId w:val="1"/>
  </w:num>
  <w:num w:numId="2" w16cid:durableId="211888669">
    <w:abstractNumId w:val="0"/>
  </w:num>
  <w:num w:numId="3" w16cid:durableId="2073118824">
    <w:abstractNumId w:val="3"/>
  </w:num>
  <w:num w:numId="4" w16cid:durableId="188841705">
    <w:abstractNumId w:val="12"/>
  </w:num>
  <w:num w:numId="5" w16cid:durableId="777257336">
    <w:abstractNumId w:val="10"/>
  </w:num>
  <w:num w:numId="6" w16cid:durableId="129590359">
    <w:abstractNumId w:val="9"/>
  </w:num>
  <w:num w:numId="7" w16cid:durableId="1498381988">
    <w:abstractNumId w:val="4"/>
  </w:num>
  <w:num w:numId="8" w16cid:durableId="1805541060">
    <w:abstractNumId w:val="11"/>
  </w:num>
  <w:num w:numId="9" w16cid:durableId="788085307">
    <w:abstractNumId w:val="6"/>
  </w:num>
  <w:num w:numId="10" w16cid:durableId="468017822">
    <w:abstractNumId w:val="13"/>
  </w:num>
  <w:num w:numId="11" w16cid:durableId="1591154195">
    <w:abstractNumId w:val="14"/>
  </w:num>
  <w:num w:numId="12" w16cid:durableId="1526820440">
    <w:abstractNumId w:val="3"/>
  </w:num>
  <w:num w:numId="13" w16cid:durableId="774404483">
    <w:abstractNumId w:val="3"/>
  </w:num>
  <w:num w:numId="14" w16cid:durableId="1855604402">
    <w:abstractNumId w:val="3"/>
  </w:num>
  <w:num w:numId="15" w16cid:durableId="50883437">
    <w:abstractNumId w:val="3"/>
  </w:num>
  <w:num w:numId="16" w16cid:durableId="1151825745">
    <w:abstractNumId w:val="3"/>
  </w:num>
  <w:num w:numId="17" w16cid:durableId="156190550">
    <w:abstractNumId w:val="3"/>
  </w:num>
  <w:num w:numId="18" w16cid:durableId="186723719">
    <w:abstractNumId w:val="3"/>
  </w:num>
  <w:num w:numId="19" w16cid:durableId="748118068">
    <w:abstractNumId w:val="3"/>
  </w:num>
  <w:num w:numId="20" w16cid:durableId="943996198">
    <w:abstractNumId w:val="3"/>
  </w:num>
  <w:num w:numId="21" w16cid:durableId="1459445665">
    <w:abstractNumId w:val="3"/>
  </w:num>
  <w:num w:numId="22" w16cid:durableId="47532633">
    <w:abstractNumId w:val="3"/>
  </w:num>
  <w:num w:numId="23" w16cid:durableId="708336955">
    <w:abstractNumId w:val="3"/>
  </w:num>
  <w:num w:numId="24" w16cid:durableId="1076248017">
    <w:abstractNumId w:val="3"/>
  </w:num>
  <w:num w:numId="25" w16cid:durableId="1935899553">
    <w:abstractNumId w:val="3"/>
  </w:num>
  <w:num w:numId="26" w16cid:durableId="1209410982">
    <w:abstractNumId w:val="2"/>
  </w:num>
  <w:num w:numId="27" w16cid:durableId="1063337784">
    <w:abstractNumId w:val="5"/>
  </w:num>
  <w:num w:numId="28" w16cid:durableId="1937977420">
    <w:abstractNumId w:val="8"/>
  </w:num>
  <w:num w:numId="29" w16cid:durableId="9989215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70">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5C8F"/>
    <w:rsid w:val="00016F45"/>
    <w:rsid w:val="00020BC3"/>
    <w:rsid w:val="00024059"/>
    <w:rsid w:val="000314B3"/>
    <w:rsid w:val="00034226"/>
    <w:rsid w:val="00042E55"/>
    <w:rsid w:val="00047A74"/>
    <w:rsid w:val="00050147"/>
    <w:rsid w:val="000505AF"/>
    <w:rsid w:val="00054866"/>
    <w:rsid w:val="0006112B"/>
    <w:rsid w:val="0006452E"/>
    <w:rsid w:val="00066FF5"/>
    <w:rsid w:val="0007255F"/>
    <w:rsid w:val="000858A3"/>
    <w:rsid w:val="00091BF3"/>
    <w:rsid w:val="000A0D25"/>
    <w:rsid w:val="000A3AB8"/>
    <w:rsid w:val="000A5639"/>
    <w:rsid w:val="000A6578"/>
    <w:rsid w:val="000A6C2A"/>
    <w:rsid w:val="000B1357"/>
    <w:rsid w:val="000B1B99"/>
    <w:rsid w:val="000C39F0"/>
    <w:rsid w:val="000C500B"/>
    <w:rsid w:val="000D7AF0"/>
    <w:rsid w:val="000E3A34"/>
    <w:rsid w:val="000F1DD4"/>
    <w:rsid w:val="000F4684"/>
    <w:rsid w:val="00100480"/>
    <w:rsid w:val="00102846"/>
    <w:rsid w:val="001074D7"/>
    <w:rsid w:val="00110630"/>
    <w:rsid w:val="00114565"/>
    <w:rsid w:val="00121767"/>
    <w:rsid w:val="00122810"/>
    <w:rsid w:val="0014211D"/>
    <w:rsid w:val="00154B3C"/>
    <w:rsid w:val="0015636D"/>
    <w:rsid w:val="00156B44"/>
    <w:rsid w:val="0016520B"/>
    <w:rsid w:val="001715AA"/>
    <w:rsid w:val="00176DD1"/>
    <w:rsid w:val="00184371"/>
    <w:rsid w:val="001852CD"/>
    <w:rsid w:val="001870DA"/>
    <w:rsid w:val="0018751C"/>
    <w:rsid w:val="00187547"/>
    <w:rsid w:val="00187C30"/>
    <w:rsid w:val="00191DCA"/>
    <w:rsid w:val="0019245E"/>
    <w:rsid w:val="001951C3"/>
    <w:rsid w:val="001951EE"/>
    <w:rsid w:val="00197B9B"/>
    <w:rsid w:val="001A40A0"/>
    <w:rsid w:val="001B4BDD"/>
    <w:rsid w:val="001B6254"/>
    <w:rsid w:val="001B7AEA"/>
    <w:rsid w:val="001C2EC7"/>
    <w:rsid w:val="001C455F"/>
    <w:rsid w:val="001D0620"/>
    <w:rsid w:val="001D4A0A"/>
    <w:rsid w:val="001E242A"/>
    <w:rsid w:val="001E6D86"/>
    <w:rsid w:val="001F1FB6"/>
    <w:rsid w:val="001F5EBC"/>
    <w:rsid w:val="001F6BC4"/>
    <w:rsid w:val="00205CC6"/>
    <w:rsid w:val="0021192D"/>
    <w:rsid w:val="00212AAC"/>
    <w:rsid w:val="00233778"/>
    <w:rsid w:val="00233F87"/>
    <w:rsid w:val="00247FE7"/>
    <w:rsid w:val="00250681"/>
    <w:rsid w:val="0025157E"/>
    <w:rsid w:val="002519B4"/>
    <w:rsid w:val="00255035"/>
    <w:rsid w:val="002565A7"/>
    <w:rsid w:val="0026236F"/>
    <w:rsid w:val="00264CBF"/>
    <w:rsid w:val="00266AE0"/>
    <w:rsid w:val="00267937"/>
    <w:rsid w:val="00277441"/>
    <w:rsid w:val="002801D0"/>
    <w:rsid w:val="00281233"/>
    <w:rsid w:val="0028614E"/>
    <w:rsid w:val="002908D5"/>
    <w:rsid w:val="002A010A"/>
    <w:rsid w:val="002A1DD0"/>
    <w:rsid w:val="002A7E67"/>
    <w:rsid w:val="002B319E"/>
    <w:rsid w:val="002B52E0"/>
    <w:rsid w:val="002C0E16"/>
    <w:rsid w:val="002C3847"/>
    <w:rsid w:val="002C5A18"/>
    <w:rsid w:val="002C76F8"/>
    <w:rsid w:val="002D5186"/>
    <w:rsid w:val="002E74EB"/>
    <w:rsid w:val="002F1F03"/>
    <w:rsid w:val="002F32F7"/>
    <w:rsid w:val="002F5886"/>
    <w:rsid w:val="00310B9B"/>
    <w:rsid w:val="00315924"/>
    <w:rsid w:val="0032752A"/>
    <w:rsid w:val="003407DC"/>
    <w:rsid w:val="00341813"/>
    <w:rsid w:val="00343848"/>
    <w:rsid w:val="00346D2E"/>
    <w:rsid w:val="003502B0"/>
    <w:rsid w:val="00354843"/>
    <w:rsid w:val="003548C6"/>
    <w:rsid w:val="003564AC"/>
    <w:rsid w:val="0035769F"/>
    <w:rsid w:val="00360578"/>
    <w:rsid w:val="003635C0"/>
    <w:rsid w:val="00365993"/>
    <w:rsid w:val="003659FE"/>
    <w:rsid w:val="00375542"/>
    <w:rsid w:val="00380F8D"/>
    <w:rsid w:val="00386BC2"/>
    <w:rsid w:val="003A0DBC"/>
    <w:rsid w:val="003A332B"/>
    <w:rsid w:val="003A4399"/>
    <w:rsid w:val="003A7B0B"/>
    <w:rsid w:val="003B0D32"/>
    <w:rsid w:val="003B1070"/>
    <w:rsid w:val="003B3753"/>
    <w:rsid w:val="003C45E3"/>
    <w:rsid w:val="003C7D5D"/>
    <w:rsid w:val="003D0AAC"/>
    <w:rsid w:val="003E47DC"/>
    <w:rsid w:val="003F39FE"/>
    <w:rsid w:val="004013F0"/>
    <w:rsid w:val="004033A4"/>
    <w:rsid w:val="00407344"/>
    <w:rsid w:val="0042023E"/>
    <w:rsid w:val="0042054A"/>
    <w:rsid w:val="00421A7C"/>
    <w:rsid w:val="00422E24"/>
    <w:rsid w:val="00424763"/>
    <w:rsid w:val="0045215C"/>
    <w:rsid w:val="00455B42"/>
    <w:rsid w:val="004574D1"/>
    <w:rsid w:val="00460FDB"/>
    <w:rsid w:val="00463354"/>
    <w:rsid w:val="00471506"/>
    <w:rsid w:val="00472C27"/>
    <w:rsid w:val="00474BEA"/>
    <w:rsid w:val="00474D2A"/>
    <w:rsid w:val="004930AD"/>
    <w:rsid w:val="00496148"/>
    <w:rsid w:val="00496367"/>
    <w:rsid w:val="004B002A"/>
    <w:rsid w:val="004B3290"/>
    <w:rsid w:val="004B42C8"/>
    <w:rsid w:val="004B5C7A"/>
    <w:rsid w:val="004B7072"/>
    <w:rsid w:val="004C2225"/>
    <w:rsid w:val="004D2A1C"/>
    <w:rsid w:val="004D6E72"/>
    <w:rsid w:val="004E3521"/>
    <w:rsid w:val="004E3531"/>
    <w:rsid w:val="004E3DC1"/>
    <w:rsid w:val="004F7279"/>
    <w:rsid w:val="0050264A"/>
    <w:rsid w:val="005033A1"/>
    <w:rsid w:val="00510A04"/>
    <w:rsid w:val="00524CE5"/>
    <w:rsid w:val="00525E37"/>
    <w:rsid w:val="00526A52"/>
    <w:rsid w:val="00550B87"/>
    <w:rsid w:val="00554BAC"/>
    <w:rsid w:val="005559D7"/>
    <w:rsid w:val="00564090"/>
    <w:rsid w:val="0056591A"/>
    <w:rsid w:val="00570886"/>
    <w:rsid w:val="00592CD7"/>
    <w:rsid w:val="0059675F"/>
    <w:rsid w:val="005A434A"/>
    <w:rsid w:val="005A70B0"/>
    <w:rsid w:val="005B1FCA"/>
    <w:rsid w:val="005B332F"/>
    <w:rsid w:val="005C2677"/>
    <w:rsid w:val="005C3688"/>
    <w:rsid w:val="005C415F"/>
    <w:rsid w:val="005D222D"/>
    <w:rsid w:val="005D236A"/>
    <w:rsid w:val="005D3005"/>
    <w:rsid w:val="005E3315"/>
    <w:rsid w:val="005F21BA"/>
    <w:rsid w:val="005F39F9"/>
    <w:rsid w:val="0060111E"/>
    <w:rsid w:val="00604239"/>
    <w:rsid w:val="00604E17"/>
    <w:rsid w:val="00610F3F"/>
    <w:rsid w:val="006111AC"/>
    <w:rsid w:val="00617DA1"/>
    <w:rsid w:val="0062325F"/>
    <w:rsid w:val="00624DE6"/>
    <w:rsid w:val="00625D11"/>
    <w:rsid w:val="00626647"/>
    <w:rsid w:val="006313F3"/>
    <w:rsid w:val="00634E25"/>
    <w:rsid w:val="00637502"/>
    <w:rsid w:val="0063787F"/>
    <w:rsid w:val="00647EE1"/>
    <w:rsid w:val="00650A80"/>
    <w:rsid w:val="00650CFE"/>
    <w:rsid w:val="006523CF"/>
    <w:rsid w:val="00652419"/>
    <w:rsid w:val="006540F8"/>
    <w:rsid w:val="00655EBC"/>
    <w:rsid w:val="00656151"/>
    <w:rsid w:val="0065618E"/>
    <w:rsid w:val="00656F74"/>
    <w:rsid w:val="0066036F"/>
    <w:rsid w:val="00663570"/>
    <w:rsid w:val="0066357B"/>
    <w:rsid w:val="00670057"/>
    <w:rsid w:val="00670F39"/>
    <w:rsid w:val="0067274E"/>
    <w:rsid w:val="00673A7A"/>
    <w:rsid w:val="00675E00"/>
    <w:rsid w:val="00680CC6"/>
    <w:rsid w:val="00680DA3"/>
    <w:rsid w:val="00681DCD"/>
    <w:rsid w:val="006849CA"/>
    <w:rsid w:val="00694E20"/>
    <w:rsid w:val="00695602"/>
    <w:rsid w:val="00696070"/>
    <w:rsid w:val="006A3BF4"/>
    <w:rsid w:val="006A70A4"/>
    <w:rsid w:val="006A79D5"/>
    <w:rsid w:val="006B2002"/>
    <w:rsid w:val="006B4DE0"/>
    <w:rsid w:val="006B52FB"/>
    <w:rsid w:val="006B6197"/>
    <w:rsid w:val="006C15EA"/>
    <w:rsid w:val="006C1C50"/>
    <w:rsid w:val="006C22BE"/>
    <w:rsid w:val="006C289A"/>
    <w:rsid w:val="006D0555"/>
    <w:rsid w:val="006D6F69"/>
    <w:rsid w:val="006E18BF"/>
    <w:rsid w:val="006E4AB4"/>
    <w:rsid w:val="006E7884"/>
    <w:rsid w:val="006F12A7"/>
    <w:rsid w:val="006F56EE"/>
    <w:rsid w:val="006F582E"/>
    <w:rsid w:val="007018BB"/>
    <w:rsid w:val="00703E54"/>
    <w:rsid w:val="00705AD8"/>
    <w:rsid w:val="00714BF2"/>
    <w:rsid w:val="00720E0D"/>
    <w:rsid w:val="007221D4"/>
    <w:rsid w:val="00726E02"/>
    <w:rsid w:val="00727E21"/>
    <w:rsid w:val="00730333"/>
    <w:rsid w:val="00732885"/>
    <w:rsid w:val="007405D3"/>
    <w:rsid w:val="00750695"/>
    <w:rsid w:val="007506CC"/>
    <w:rsid w:val="00767062"/>
    <w:rsid w:val="00767DE6"/>
    <w:rsid w:val="00770967"/>
    <w:rsid w:val="00774F32"/>
    <w:rsid w:val="00777B2F"/>
    <w:rsid w:val="00784E6E"/>
    <w:rsid w:val="00786E08"/>
    <w:rsid w:val="007943CA"/>
    <w:rsid w:val="007A4DB9"/>
    <w:rsid w:val="007A5C2C"/>
    <w:rsid w:val="007B4B32"/>
    <w:rsid w:val="007B6333"/>
    <w:rsid w:val="007C0F87"/>
    <w:rsid w:val="007C13E8"/>
    <w:rsid w:val="007D1B6A"/>
    <w:rsid w:val="007D3493"/>
    <w:rsid w:val="007D3F68"/>
    <w:rsid w:val="007D458E"/>
    <w:rsid w:val="007F2D2F"/>
    <w:rsid w:val="007F4B56"/>
    <w:rsid w:val="008012AC"/>
    <w:rsid w:val="00814971"/>
    <w:rsid w:val="00821150"/>
    <w:rsid w:val="00822B21"/>
    <w:rsid w:val="008233F3"/>
    <w:rsid w:val="00824623"/>
    <w:rsid w:val="00824889"/>
    <w:rsid w:val="00835D4B"/>
    <w:rsid w:val="00836E69"/>
    <w:rsid w:val="0084692D"/>
    <w:rsid w:val="00847C7B"/>
    <w:rsid w:val="00852655"/>
    <w:rsid w:val="00855885"/>
    <w:rsid w:val="008614ED"/>
    <w:rsid w:val="008657F6"/>
    <w:rsid w:val="00865AB9"/>
    <w:rsid w:val="008809D4"/>
    <w:rsid w:val="008845D6"/>
    <w:rsid w:val="00893688"/>
    <w:rsid w:val="0089513B"/>
    <w:rsid w:val="008A0FE3"/>
    <w:rsid w:val="008A5A8F"/>
    <w:rsid w:val="008A61FA"/>
    <w:rsid w:val="008A7DAD"/>
    <w:rsid w:val="008B4B49"/>
    <w:rsid w:val="008C108F"/>
    <w:rsid w:val="008C3D7C"/>
    <w:rsid w:val="008C5D99"/>
    <w:rsid w:val="008D1FDF"/>
    <w:rsid w:val="008D3756"/>
    <w:rsid w:val="008D3F81"/>
    <w:rsid w:val="008D72EC"/>
    <w:rsid w:val="008E56C9"/>
    <w:rsid w:val="008E632A"/>
    <w:rsid w:val="008E6369"/>
    <w:rsid w:val="008E7C32"/>
    <w:rsid w:val="008F114D"/>
    <w:rsid w:val="008F173C"/>
    <w:rsid w:val="008F2008"/>
    <w:rsid w:val="008F3ECE"/>
    <w:rsid w:val="008F47BE"/>
    <w:rsid w:val="008F72FB"/>
    <w:rsid w:val="00921A31"/>
    <w:rsid w:val="009225C4"/>
    <w:rsid w:val="00924E7E"/>
    <w:rsid w:val="00926E1E"/>
    <w:rsid w:val="00930CCD"/>
    <w:rsid w:val="009330DC"/>
    <w:rsid w:val="0094521F"/>
    <w:rsid w:val="00955CBB"/>
    <w:rsid w:val="00957D0C"/>
    <w:rsid w:val="00966E5E"/>
    <w:rsid w:val="0097748E"/>
    <w:rsid w:val="00977A94"/>
    <w:rsid w:val="0098114C"/>
    <w:rsid w:val="00982098"/>
    <w:rsid w:val="00990EBB"/>
    <w:rsid w:val="00991454"/>
    <w:rsid w:val="009932C8"/>
    <w:rsid w:val="0099402F"/>
    <w:rsid w:val="00995E72"/>
    <w:rsid w:val="009B516A"/>
    <w:rsid w:val="009B7829"/>
    <w:rsid w:val="009C002D"/>
    <w:rsid w:val="009D037A"/>
    <w:rsid w:val="009D1D79"/>
    <w:rsid w:val="009D44A0"/>
    <w:rsid w:val="009D6603"/>
    <w:rsid w:val="009D7854"/>
    <w:rsid w:val="009D7BC1"/>
    <w:rsid w:val="009E3C53"/>
    <w:rsid w:val="009E6385"/>
    <w:rsid w:val="009F2F4B"/>
    <w:rsid w:val="00A00652"/>
    <w:rsid w:val="00A0127B"/>
    <w:rsid w:val="00A02005"/>
    <w:rsid w:val="00A058A8"/>
    <w:rsid w:val="00A13617"/>
    <w:rsid w:val="00A156FE"/>
    <w:rsid w:val="00A17D84"/>
    <w:rsid w:val="00A22A05"/>
    <w:rsid w:val="00A25720"/>
    <w:rsid w:val="00A36724"/>
    <w:rsid w:val="00A3740F"/>
    <w:rsid w:val="00A46B32"/>
    <w:rsid w:val="00A534DC"/>
    <w:rsid w:val="00A57F42"/>
    <w:rsid w:val="00A653CC"/>
    <w:rsid w:val="00A65596"/>
    <w:rsid w:val="00A70CE2"/>
    <w:rsid w:val="00A73EF9"/>
    <w:rsid w:val="00A8648B"/>
    <w:rsid w:val="00A90B8A"/>
    <w:rsid w:val="00A93CF5"/>
    <w:rsid w:val="00A94FF5"/>
    <w:rsid w:val="00A97F44"/>
    <w:rsid w:val="00AA326A"/>
    <w:rsid w:val="00AA5168"/>
    <w:rsid w:val="00AB2FD2"/>
    <w:rsid w:val="00AB4686"/>
    <w:rsid w:val="00AC05D0"/>
    <w:rsid w:val="00AC2747"/>
    <w:rsid w:val="00AC4155"/>
    <w:rsid w:val="00AC62FF"/>
    <w:rsid w:val="00AC645E"/>
    <w:rsid w:val="00AD05ED"/>
    <w:rsid w:val="00AD0B47"/>
    <w:rsid w:val="00AD3220"/>
    <w:rsid w:val="00AD7AE2"/>
    <w:rsid w:val="00AE17F2"/>
    <w:rsid w:val="00AE415B"/>
    <w:rsid w:val="00B02E3C"/>
    <w:rsid w:val="00B0598C"/>
    <w:rsid w:val="00B100A9"/>
    <w:rsid w:val="00B13277"/>
    <w:rsid w:val="00B1424A"/>
    <w:rsid w:val="00B14536"/>
    <w:rsid w:val="00B1738A"/>
    <w:rsid w:val="00B21FDF"/>
    <w:rsid w:val="00B300AE"/>
    <w:rsid w:val="00B3075F"/>
    <w:rsid w:val="00B33C93"/>
    <w:rsid w:val="00B37171"/>
    <w:rsid w:val="00B378D3"/>
    <w:rsid w:val="00B37F55"/>
    <w:rsid w:val="00B4648B"/>
    <w:rsid w:val="00B520AE"/>
    <w:rsid w:val="00B52EC1"/>
    <w:rsid w:val="00B554A8"/>
    <w:rsid w:val="00B60C7E"/>
    <w:rsid w:val="00B612EE"/>
    <w:rsid w:val="00B724DA"/>
    <w:rsid w:val="00B75719"/>
    <w:rsid w:val="00B80353"/>
    <w:rsid w:val="00B9234C"/>
    <w:rsid w:val="00B95932"/>
    <w:rsid w:val="00B96817"/>
    <w:rsid w:val="00BA138A"/>
    <w:rsid w:val="00BA27FF"/>
    <w:rsid w:val="00BB0BA6"/>
    <w:rsid w:val="00BE1449"/>
    <w:rsid w:val="00BE1C55"/>
    <w:rsid w:val="00BE31C5"/>
    <w:rsid w:val="00BE32C7"/>
    <w:rsid w:val="00BE37E9"/>
    <w:rsid w:val="00BF2351"/>
    <w:rsid w:val="00BF689B"/>
    <w:rsid w:val="00BF749C"/>
    <w:rsid w:val="00C0021A"/>
    <w:rsid w:val="00C102EE"/>
    <w:rsid w:val="00C11563"/>
    <w:rsid w:val="00C14AC0"/>
    <w:rsid w:val="00C167BD"/>
    <w:rsid w:val="00C21A51"/>
    <w:rsid w:val="00C22823"/>
    <w:rsid w:val="00C22ACF"/>
    <w:rsid w:val="00C252B1"/>
    <w:rsid w:val="00C3039C"/>
    <w:rsid w:val="00C333DE"/>
    <w:rsid w:val="00C41E4F"/>
    <w:rsid w:val="00C5360E"/>
    <w:rsid w:val="00C61604"/>
    <w:rsid w:val="00C63DA3"/>
    <w:rsid w:val="00C64CAD"/>
    <w:rsid w:val="00C7111F"/>
    <w:rsid w:val="00C73662"/>
    <w:rsid w:val="00C74757"/>
    <w:rsid w:val="00C75F40"/>
    <w:rsid w:val="00C77289"/>
    <w:rsid w:val="00C7774E"/>
    <w:rsid w:val="00C82BB3"/>
    <w:rsid w:val="00C858AA"/>
    <w:rsid w:val="00C8658C"/>
    <w:rsid w:val="00C927CB"/>
    <w:rsid w:val="00CA3F49"/>
    <w:rsid w:val="00CB0397"/>
    <w:rsid w:val="00CB4D3F"/>
    <w:rsid w:val="00CB4F9B"/>
    <w:rsid w:val="00CB704F"/>
    <w:rsid w:val="00CC4564"/>
    <w:rsid w:val="00CE2831"/>
    <w:rsid w:val="00CE32B8"/>
    <w:rsid w:val="00CE4E7A"/>
    <w:rsid w:val="00CF06DC"/>
    <w:rsid w:val="00CF0DB3"/>
    <w:rsid w:val="00CF3D96"/>
    <w:rsid w:val="00D0115D"/>
    <w:rsid w:val="00D022FC"/>
    <w:rsid w:val="00D04974"/>
    <w:rsid w:val="00D06B1E"/>
    <w:rsid w:val="00D10805"/>
    <w:rsid w:val="00D23DDF"/>
    <w:rsid w:val="00D24518"/>
    <w:rsid w:val="00D302F7"/>
    <w:rsid w:val="00D342F4"/>
    <w:rsid w:val="00D36519"/>
    <w:rsid w:val="00D37D4C"/>
    <w:rsid w:val="00D42B8A"/>
    <w:rsid w:val="00D42E7F"/>
    <w:rsid w:val="00D45592"/>
    <w:rsid w:val="00D52519"/>
    <w:rsid w:val="00D54127"/>
    <w:rsid w:val="00D71931"/>
    <w:rsid w:val="00D71A0B"/>
    <w:rsid w:val="00D727E1"/>
    <w:rsid w:val="00D83B7B"/>
    <w:rsid w:val="00D86BC3"/>
    <w:rsid w:val="00D94A15"/>
    <w:rsid w:val="00DA7D57"/>
    <w:rsid w:val="00DB4118"/>
    <w:rsid w:val="00DB6459"/>
    <w:rsid w:val="00DC5715"/>
    <w:rsid w:val="00DD0390"/>
    <w:rsid w:val="00DD0E4A"/>
    <w:rsid w:val="00DD2B45"/>
    <w:rsid w:val="00DD6CA1"/>
    <w:rsid w:val="00DE1F5F"/>
    <w:rsid w:val="00DF0BDF"/>
    <w:rsid w:val="00DF1818"/>
    <w:rsid w:val="00DF3012"/>
    <w:rsid w:val="00DF3812"/>
    <w:rsid w:val="00E01815"/>
    <w:rsid w:val="00E04742"/>
    <w:rsid w:val="00E1030D"/>
    <w:rsid w:val="00E1387A"/>
    <w:rsid w:val="00E21A34"/>
    <w:rsid w:val="00E22CB7"/>
    <w:rsid w:val="00E25C6C"/>
    <w:rsid w:val="00E31954"/>
    <w:rsid w:val="00E4432D"/>
    <w:rsid w:val="00E47FBD"/>
    <w:rsid w:val="00E5179A"/>
    <w:rsid w:val="00E556A8"/>
    <w:rsid w:val="00E5583E"/>
    <w:rsid w:val="00E559FD"/>
    <w:rsid w:val="00E607E4"/>
    <w:rsid w:val="00E67798"/>
    <w:rsid w:val="00E72973"/>
    <w:rsid w:val="00E754ED"/>
    <w:rsid w:val="00E83C2D"/>
    <w:rsid w:val="00E91CBB"/>
    <w:rsid w:val="00EB52F6"/>
    <w:rsid w:val="00EB557C"/>
    <w:rsid w:val="00EB7484"/>
    <w:rsid w:val="00EC2A56"/>
    <w:rsid w:val="00EC41C9"/>
    <w:rsid w:val="00EC5E2A"/>
    <w:rsid w:val="00EE574A"/>
    <w:rsid w:val="00EF085F"/>
    <w:rsid w:val="00EF2751"/>
    <w:rsid w:val="00EF2ABF"/>
    <w:rsid w:val="00EF42FB"/>
    <w:rsid w:val="00EF660E"/>
    <w:rsid w:val="00EF6A8F"/>
    <w:rsid w:val="00F1178A"/>
    <w:rsid w:val="00F1274B"/>
    <w:rsid w:val="00F26B2F"/>
    <w:rsid w:val="00F27314"/>
    <w:rsid w:val="00F276E7"/>
    <w:rsid w:val="00F44CE3"/>
    <w:rsid w:val="00F622E4"/>
    <w:rsid w:val="00F65CFC"/>
    <w:rsid w:val="00F6756B"/>
    <w:rsid w:val="00F7140F"/>
    <w:rsid w:val="00F72D61"/>
    <w:rsid w:val="00F7669E"/>
    <w:rsid w:val="00F8351E"/>
    <w:rsid w:val="00F91DB6"/>
    <w:rsid w:val="00F91FB1"/>
    <w:rsid w:val="00F9436C"/>
    <w:rsid w:val="00F95D9D"/>
    <w:rsid w:val="00F97768"/>
    <w:rsid w:val="00FA7EAF"/>
    <w:rsid w:val="00FB02E0"/>
    <w:rsid w:val="00FB415E"/>
    <w:rsid w:val="00FD1E5D"/>
    <w:rsid w:val="00FD5FE9"/>
    <w:rsid w:val="00FD6AAD"/>
    <w:rsid w:val="00FD6C18"/>
    <w:rsid w:val="00FD77A0"/>
    <w:rsid w:val="00FE1235"/>
    <w:rsid w:val="00FE7BCF"/>
    <w:rsid w:val="00FF0855"/>
    <w:rsid w:val="00FF74D8"/>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colormru v:ext="edit" colors="#b2b2b2,#ddd"/>
    </o:shapedefaults>
    <o:shapelayout v:ext="edit">
      <o:idmap v:ext="edit" data="2"/>
    </o:shapelayout>
  </w:shapeDefaults>
  <w:decimalSymbol w:val=","/>
  <w:listSeparator w:val=";"/>
  <w14:docId w14:val="5EAB6777"/>
  <w15:docId w15:val="{99F4A0AF-1CFB-4D3E-AF0B-4A2B9AD2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link w:val="berschrift3Zchn"/>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headleft">
    <w:name w:val="head_left"/>
    <w:rsid w:val="00047A74"/>
  </w:style>
  <w:style w:type="paragraph" w:styleId="Kopfzeile">
    <w:name w:val="header"/>
    <w:basedOn w:val="Standard"/>
    <w:link w:val="KopfzeileZchn"/>
    <w:rsid w:val="008E632A"/>
    <w:pPr>
      <w:tabs>
        <w:tab w:val="clear" w:pos="1152"/>
        <w:tab w:val="clear" w:pos="2448"/>
        <w:tab w:val="clear" w:pos="8496"/>
        <w:tab w:val="center" w:pos="4536"/>
        <w:tab w:val="right" w:pos="9072"/>
      </w:tabs>
    </w:pPr>
  </w:style>
  <w:style w:type="character" w:customStyle="1" w:styleId="KopfzeileZchn">
    <w:name w:val="Kopfzeile Zchn"/>
    <w:link w:val="Kopfzeile"/>
    <w:rsid w:val="008E632A"/>
    <w:rPr>
      <w:sz w:val="22"/>
    </w:rPr>
  </w:style>
  <w:style w:type="paragraph" w:styleId="berarbeitung">
    <w:name w:val="Revision"/>
    <w:hidden/>
    <w:uiPriority w:val="99"/>
    <w:semiHidden/>
    <w:rsid w:val="00AC4155"/>
    <w:rPr>
      <w:sz w:val="22"/>
    </w:rPr>
  </w:style>
  <w:style w:type="character" w:customStyle="1" w:styleId="searchword">
    <w:name w:val="searchword"/>
    <w:rsid w:val="009330DC"/>
  </w:style>
  <w:style w:type="character" w:customStyle="1" w:styleId="deubeleitsatztext">
    <w:name w:val="deub_e_leitsatz_text"/>
    <w:rsid w:val="009F2F4B"/>
  </w:style>
  <w:style w:type="paragraph" w:styleId="StandardWeb">
    <w:name w:val="Normal (Web)"/>
    <w:basedOn w:val="Standard"/>
    <w:uiPriority w:val="99"/>
    <w:unhideWhenUsed/>
    <w:rsid w:val="009F2F4B"/>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berschrift3Zchn">
    <w:name w:val="Überschrift 3 Zchn"/>
    <w:link w:val="berschrift3"/>
    <w:rsid w:val="009F2F4B"/>
    <w:rPr>
      <w:b/>
      <w:sz w:val="22"/>
    </w:rPr>
  </w:style>
  <w:style w:type="character" w:customStyle="1" w:styleId="markedcontent">
    <w:name w:val="markedcontent"/>
    <w:rsid w:val="001C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2242</Words>
  <Characters>14129</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Sabine Himmelberg</cp:lastModifiedBy>
  <cp:revision>3</cp:revision>
  <cp:lastPrinted>2022-08-15T14:56:00Z</cp:lastPrinted>
  <dcterms:created xsi:type="dcterms:W3CDTF">2024-09-11T16:07:00Z</dcterms:created>
  <dcterms:modified xsi:type="dcterms:W3CDTF">2024-09-11T16:08:00Z</dcterms:modified>
</cp:coreProperties>
</file>