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6C941" w14:textId="3521D252" w:rsidR="00BE1449" w:rsidRDefault="00A0127B">
      <w:pPr>
        <w:pStyle w:val="berschrift"/>
      </w:pPr>
      <w:r>
        <w:t>Sehr geehrte Mandantin,</w:t>
      </w:r>
      <w:r>
        <w:br/>
        <w:t>sehr geehrter Mandant,</w:t>
      </w:r>
    </w:p>
    <w:p w14:paraId="436F0AA7" w14:textId="77777777" w:rsidR="00947D2B" w:rsidRPr="007F56CE" w:rsidRDefault="00947D2B" w:rsidP="00947D2B">
      <w:pPr>
        <w:spacing w:after="140"/>
      </w:pPr>
      <w:r>
        <w:t xml:space="preserve">das Bundesfinanzministerium hat sich zur Abgrenzung von Entgelten für eine Leistung und </w:t>
      </w:r>
      <w:r w:rsidRPr="005543A3">
        <w:rPr>
          <w:b/>
          <w:bCs/>
        </w:rPr>
        <w:t>echten Zuschüssen</w:t>
      </w:r>
      <w:r>
        <w:t xml:space="preserve"> geäußert. Wir fassen die Kernaussagen für Sie zusammen. Darüber hinaus beleuchten wir den Regierungsentwurf eines </w:t>
      </w:r>
      <w:r w:rsidRPr="005543A3">
        <w:rPr>
          <w:b/>
          <w:bCs/>
        </w:rPr>
        <w:t>Jahressteuergesetzes 2024</w:t>
      </w:r>
      <w:r>
        <w:t xml:space="preserve">. Mit dem Abschluss des Gesetzgebungsverfahrens dürfte nach der parlamentarischen Sommerpause zu rechnen sein. Der Entwurf enthält gesetzliche Änderungen bei </w:t>
      </w:r>
      <w:r w:rsidRPr="007F56CE">
        <w:rPr>
          <w:b/>
          <w:bCs/>
        </w:rPr>
        <w:t>Bildungsleistungen</w:t>
      </w:r>
      <w:r>
        <w:t xml:space="preserve"> und bei der </w:t>
      </w:r>
      <w:r w:rsidRPr="007F56CE">
        <w:rPr>
          <w:b/>
          <w:bCs/>
        </w:rPr>
        <w:t>Wohngemeinnützigkeit</w:t>
      </w:r>
      <w:r>
        <w:t xml:space="preserve">, die wir Ihnen vorstellen. Auch der </w:t>
      </w:r>
      <w:r w:rsidRPr="007F56CE">
        <w:rPr>
          <w:b/>
          <w:bCs/>
        </w:rPr>
        <w:t>Steuertipp</w:t>
      </w:r>
      <w:r>
        <w:t xml:space="preserve"> geht auf diesen Entwurf zurück und befasst sich mit der </w:t>
      </w:r>
      <w:r w:rsidRPr="007F56CE">
        <w:rPr>
          <w:b/>
          <w:bCs/>
        </w:rPr>
        <w:t>Rücklagenbildung</w:t>
      </w:r>
      <w:r>
        <w:t>.</w:t>
      </w:r>
    </w:p>
    <w:p w14:paraId="15F88EE0" w14:textId="77777777" w:rsidR="00947D2B" w:rsidRDefault="00947D2B" w:rsidP="00947D2B">
      <w:pPr>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7B8DD18E" w14:textId="77777777" w:rsidR="00947D2B" w:rsidRDefault="00947D2B" w:rsidP="00947D2B">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70997631"/>
      <w:r w:rsidRPr="00776DFF">
        <w:rPr>
          <w:b/>
          <w:bCs/>
        </w:rPr>
        <w:t>Abgrenzung:</w:t>
      </w:r>
      <w:r>
        <w:t xml:space="preserve"> Wann ein Entgelt für eine Leistung </w:t>
      </w:r>
      <w:r>
        <w:br/>
        <w:t>und wann ein echter Zuschuss vorliegt</w:t>
      </w:r>
      <w:r>
        <w:tab/>
        <w:t>1</w:t>
      </w:r>
    </w:p>
    <w:p w14:paraId="0AAD3EE8" w14:textId="77777777" w:rsidR="00947D2B" w:rsidRDefault="00947D2B" w:rsidP="00947D2B">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Betriebsveranstaltung:</w:t>
      </w:r>
      <w:r>
        <w:t xml:space="preserve"> Lohnsteuerpauschalierung auch bei Vorstandsweihnachtsfeier möglich</w:t>
      </w:r>
      <w:r>
        <w:tab/>
        <w:t>2</w:t>
      </w:r>
    </w:p>
    <w:p w14:paraId="335309BF" w14:textId="77777777" w:rsidR="00947D2B" w:rsidRDefault="00947D2B" w:rsidP="00947D2B">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Corona-Hilfen:</w:t>
      </w:r>
      <w:r>
        <w:t xml:space="preserve"> Welcher Referenzzeitraum </w:t>
      </w:r>
      <w:r>
        <w:br/>
        <w:t>bei Profisportvereinen anzusetzen ist</w:t>
      </w:r>
      <w:r>
        <w:tab/>
        <w:t>2</w:t>
      </w:r>
    </w:p>
    <w:p w14:paraId="13A9B876" w14:textId="77777777" w:rsidR="00947D2B" w:rsidRDefault="00947D2B" w:rsidP="00947D2B">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Beschlussfähigkeit:</w:t>
      </w:r>
      <w:r>
        <w:t xml:space="preserve"> Wann ist eine Eventual-</w:t>
      </w:r>
      <w:r>
        <w:br/>
      </w:r>
      <w:proofErr w:type="spellStart"/>
      <w:r>
        <w:t>einberufung</w:t>
      </w:r>
      <w:proofErr w:type="spellEnd"/>
      <w:r>
        <w:t xml:space="preserve"> zur Mitgliederversammlung möglich?</w:t>
      </w:r>
      <w:r>
        <w:tab/>
        <w:t>2</w:t>
      </w:r>
    </w:p>
    <w:p w14:paraId="711632B3" w14:textId="77777777" w:rsidR="00947D2B" w:rsidRDefault="00947D2B" w:rsidP="00947D2B">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Theater:</w:t>
      </w:r>
      <w:r>
        <w:t xml:space="preserve"> Gastverträge sind regelmäßig </w:t>
      </w:r>
      <w:r>
        <w:br/>
        <w:t>nicht als Arbeitsverträge zu qualifizieren</w:t>
      </w:r>
      <w:r>
        <w:tab/>
        <w:t>3</w:t>
      </w:r>
    </w:p>
    <w:p w14:paraId="7BA3E0D4" w14:textId="77777777" w:rsidR="00947D2B" w:rsidRDefault="00947D2B" w:rsidP="00947D2B">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Bildungsleistungen:</w:t>
      </w:r>
      <w:r>
        <w:t xml:space="preserve"> Umsatzsteuerbefreiung </w:t>
      </w:r>
      <w:r>
        <w:br/>
        <w:t>für allgemein- oder berufsbildende Einrichtungen</w:t>
      </w:r>
      <w:r>
        <w:tab/>
        <w:t>3</w:t>
      </w:r>
    </w:p>
    <w:p w14:paraId="58F5231E" w14:textId="77777777" w:rsidR="00947D2B" w:rsidRDefault="00947D2B" w:rsidP="00947D2B">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Wohngemeinnützigkeit:</w:t>
      </w:r>
      <w:r>
        <w:t xml:space="preserve"> Vergünstigte Vermietung </w:t>
      </w:r>
      <w:r>
        <w:br/>
        <w:t>an Hilfsbedürftige soll bürokratieärmer werden</w:t>
      </w:r>
      <w:r>
        <w:tab/>
        <w:t>3</w:t>
      </w:r>
    </w:p>
    <w:p w14:paraId="4F512AB6" w14:textId="77777777" w:rsidR="00947D2B" w:rsidRDefault="00947D2B" w:rsidP="00947D2B">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Insolvenz:</w:t>
      </w:r>
      <w:r>
        <w:t xml:space="preserve"> Auch ein mittelbar beteiligter </w:t>
      </w:r>
      <w:r>
        <w:br/>
        <w:t>Verein kann „nahestehende Person“ sein</w:t>
      </w:r>
      <w:r>
        <w:tab/>
        <w:t>4</w:t>
      </w:r>
    </w:p>
    <w:p w14:paraId="77E068C6" w14:textId="77777777" w:rsidR="00947D2B" w:rsidRDefault="00947D2B" w:rsidP="00947D2B">
      <w:pPr>
        <w:pStyle w:val="Verzeichnis1"/>
        <w:framePr w:w="4332" w:wrap="around" w:vAnchor="page" w:hAnchor="page" w:x="6414" w:y="1139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t xml:space="preserve"> Mehr Planungssicherheit bei </w:t>
      </w:r>
      <w:r>
        <w:br/>
        <w:t>der Rücklagenbildung in Sicht</w:t>
      </w:r>
      <w:bookmarkEnd w:id="0"/>
      <w:r>
        <w:tab/>
        <w:t>4</w:t>
      </w:r>
    </w:p>
    <w:p w14:paraId="772059E7" w14:textId="77777777" w:rsidR="00947D2B" w:rsidRDefault="00947D2B" w:rsidP="00947D2B">
      <w:pPr>
        <w:pStyle w:val="berschrift2"/>
        <w:spacing w:before="360"/>
      </w:pPr>
      <w:r>
        <w:t>Abgrenzung</w:t>
      </w:r>
      <w:r>
        <w:tab/>
      </w:r>
    </w:p>
    <w:p w14:paraId="2F25FB5D" w14:textId="77777777" w:rsidR="00947D2B" w:rsidRDefault="00947D2B" w:rsidP="00947D2B">
      <w:pPr>
        <w:pStyle w:val="berschrift1"/>
      </w:pPr>
      <w:r>
        <w:t>Wann ein Entgelt für eine Leistung und wann ein echter Zuschuss vorliegt</w:t>
      </w:r>
    </w:p>
    <w:p w14:paraId="5F28EFC8" w14:textId="77777777" w:rsidR="00947D2B" w:rsidRPr="008853E3" w:rsidRDefault="00947D2B" w:rsidP="00947D2B">
      <w:pPr>
        <w:spacing w:after="140"/>
      </w:pPr>
      <w:r w:rsidRPr="008853E3">
        <w:t xml:space="preserve">Das Bundesfinanzministerium (BMF) hat </w:t>
      </w:r>
      <w:r>
        <w:t xml:space="preserve">sich </w:t>
      </w:r>
      <w:r w:rsidRPr="008853E3">
        <w:t xml:space="preserve">zur </w:t>
      </w:r>
      <w:r w:rsidRPr="007F56CE">
        <w:rPr>
          <w:b/>
          <w:bCs/>
        </w:rPr>
        <w:t>umsatzsteuerlichen Behandlung</w:t>
      </w:r>
      <w:r w:rsidRPr="008853E3">
        <w:t xml:space="preserve"> von Zuschüssen </w:t>
      </w:r>
      <w:r>
        <w:t>geäußert</w:t>
      </w:r>
      <w:r w:rsidRPr="008853E3">
        <w:t xml:space="preserve"> und dabei die Bedeutung des mit den Zahlungen verbundenen Zwecks hervorgehoben. </w:t>
      </w:r>
      <w:r>
        <w:t>Flankierend</w:t>
      </w:r>
      <w:r w:rsidRPr="008853E3">
        <w:t xml:space="preserve"> wurde der Umsatzsteuer-An</w:t>
      </w:r>
      <w:r>
        <w:softHyphen/>
      </w:r>
      <w:r w:rsidRPr="008853E3">
        <w:t xml:space="preserve">wendungserlass </w:t>
      </w:r>
      <w:r>
        <w:t xml:space="preserve">(UStAE) </w:t>
      </w:r>
      <w:r w:rsidRPr="008853E3">
        <w:t>geändert.</w:t>
      </w:r>
    </w:p>
    <w:p w14:paraId="4083B30F" w14:textId="701E75F1" w:rsidR="00947D2B" w:rsidRPr="008853E3" w:rsidRDefault="00947D2B" w:rsidP="00947D2B">
      <w:r>
        <w:t xml:space="preserve">Laut BMF </w:t>
      </w:r>
      <w:r w:rsidRPr="008853E3">
        <w:t xml:space="preserve">ist die </w:t>
      </w:r>
      <w:r w:rsidR="00990EDF">
        <w:t>Abgrenzung</w:t>
      </w:r>
      <w:r w:rsidR="00990EDF" w:rsidRPr="008853E3">
        <w:t xml:space="preserve"> </w:t>
      </w:r>
      <w:r w:rsidRPr="008853E3">
        <w:t xml:space="preserve">zwischen einem Entgelt für eine Leistung an den Zahlenden und einem nichtsteuerbaren echten Zuschuss vor allem anhand der </w:t>
      </w:r>
      <w:r w:rsidRPr="005543A3">
        <w:rPr>
          <w:b/>
          <w:bCs/>
        </w:rPr>
        <w:t>Person des Begünstigten und des Förderungsziels</w:t>
      </w:r>
      <w:r w:rsidRPr="008853E3">
        <w:t xml:space="preserve"> vorzunehmen. Wesentlich für die Beurteilung von Zuschüssen </w:t>
      </w:r>
      <w:r>
        <w:t>sei</w:t>
      </w:r>
      <w:r w:rsidRPr="008853E3">
        <w:t>, ob dem Zuschussgeber eine konkrete Leistung erbracht werden soll</w:t>
      </w:r>
      <w:r>
        <w:t>e</w:t>
      </w:r>
      <w:r w:rsidRPr="008853E3">
        <w:t xml:space="preserve"> oder </w:t>
      </w:r>
      <w:r w:rsidR="00047602">
        <w:t xml:space="preserve">ob vielmehr </w:t>
      </w:r>
      <w:r w:rsidRPr="008853E3">
        <w:t xml:space="preserve">die Tätigkeit des </w:t>
      </w:r>
      <w:r w:rsidRPr="008853E3">
        <w:t xml:space="preserve">Zuwendungsempfängers nicht für den Zahlenden als Leistungsempfänger bestimmt </w:t>
      </w:r>
      <w:r>
        <w:t>sei</w:t>
      </w:r>
      <w:r w:rsidRPr="008853E3">
        <w:t>.</w:t>
      </w:r>
      <w:r>
        <w:t xml:space="preserve"> </w:t>
      </w:r>
      <w:r w:rsidRPr="008853E3">
        <w:t xml:space="preserve">Ein wichtiges Indiz dafür </w:t>
      </w:r>
      <w:r>
        <w:t>sei</w:t>
      </w:r>
      <w:r w:rsidRPr="008853E3">
        <w:t xml:space="preserve"> unter anderem der Zweck, den der Zahlende verfolg</w:t>
      </w:r>
      <w:r>
        <w:t>e</w:t>
      </w:r>
      <w:r w:rsidRPr="008853E3">
        <w:t>.</w:t>
      </w:r>
    </w:p>
    <w:p w14:paraId="17791367" w14:textId="1B40D06B" w:rsidR="00947D2B" w:rsidRDefault="00947D2B" w:rsidP="00947D2B">
      <w:r>
        <w:t>B</w:t>
      </w:r>
      <w:r w:rsidRPr="008853E3">
        <w:t xml:space="preserve">isher </w:t>
      </w:r>
      <w:r>
        <w:t>r</w:t>
      </w:r>
      <w:r w:rsidRPr="008853E3">
        <w:t>egel</w:t>
      </w:r>
      <w:r>
        <w:t>t der UStAE</w:t>
      </w:r>
      <w:r w:rsidRPr="008853E3">
        <w:t xml:space="preserve">, dass bei Leistungen, zu denen sich die Vertragsparteien in einem gegenseitigen Vertrag verpflichtet haben, grundsätzlich ein </w:t>
      </w:r>
      <w:r w:rsidRPr="00E635E4">
        <w:rPr>
          <w:b/>
          <w:bCs/>
        </w:rPr>
        <w:t>Leistungsaustausch</w:t>
      </w:r>
      <w:r w:rsidRPr="008853E3">
        <w:t xml:space="preserve"> vorliegt. </w:t>
      </w:r>
      <w:r w:rsidR="00047602">
        <w:t>Nun enthält d</w:t>
      </w:r>
      <w:r>
        <w:t xml:space="preserve">er UStAE folgende Klarstellung: Zahlungen, </w:t>
      </w:r>
      <w:r w:rsidRPr="008853E3">
        <w:t xml:space="preserve">die der </w:t>
      </w:r>
      <w:r>
        <w:t>E</w:t>
      </w:r>
      <w:r w:rsidRPr="008853E3">
        <w:t>mpfänger erhält, um generell in die Lage versetzt zu werden, tätig zu werden oder seine nach dem Gesellschaftszweck obliegenden Aufgaben zu erfüllen</w:t>
      </w:r>
      <w:r>
        <w:t>, gelten als e</w:t>
      </w:r>
      <w:r w:rsidRPr="008853E3">
        <w:t>chte Zuschüsse</w:t>
      </w:r>
      <w:r>
        <w:t xml:space="preserve">. </w:t>
      </w:r>
      <w:r w:rsidRPr="008853E3">
        <w:t xml:space="preserve">Dazu gehören </w:t>
      </w:r>
      <w:r>
        <w:t>vor allem</w:t>
      </w:r>
      <w:r w:rsidRPr="008853E3">
        <w:t xml:space="preserve"> Zahlungen, die dem Zahlungsempfänger vorrangig zu seiner Förderung aus struktur</w:t>
      </w:r>
      <w:r>
        <w:t>-/</w:t>
      </w:r>
      <w:r w:rsidRPr="008853E3">
        <w:t>allgemeinpolitischen oder volkswirtschaftlichen Gründen gewährt werden.</w:t>
      </w:r>
    </w:p>
    <w:p w14:paraId="1AEA1ECD" w14:textId="6D5C0AA7" w:rsidR="00947D2B" w:rsidRDefault="00947D2B" w:rsidP="00947D2B">
      <w:pPr>
        <w:shd w:val="clear" w:color="auto" w:fill="E6E6E6"/>
        <w:spacing w:after="140"/>
        <w:ind w:left="284"/>
      </w:pPr>
      <w:r w:rsidRPr="006F529D">
        <w:rPr>
          <w:b/>
          <w:bCs/>
        </w:rPr>
        <w:lastRenderedPageBreak/>
        <w:t>Beispiel:</w:t>
      </w:r>
      <w:r>
        <w:t xml:space="preserve"> Einem</w:t>
      </w:r>
      <w:r w:rsidRPr="006F529D">
        <w:t xml:space="preserve"> Verein wird nach einem mit der Gemeinde geschlossenen Nutzungsvertrag eine Sportanlage zur langfristigen Eigennutzung unentgeltlich zur Verfügung gestellt. </w:t>
      </w:r>
      <w:r>
        <w:t xml:space="preserve">Er </w:t>
      </w:r>
      <w:r w:rsidRPr="006F529D">
        <w:t xml:space="preserve">hat gegenüber </w:t>
      </w:r>
      <w:r>
        <w:t>der Gemeinde</w:t>
      </w:r>
      <w:r w:rsidRPr="006F529D">
        <w:t xml:space="preserve"> keine konkreten Betreiberleistungen </w:t>
      </w:r>
      <w:r>
        <w:t>(</w:t>
      </w:r>
      <w:r w:rsidRPr="006F529D">
        <w:t>z.B. die Vorhaltung bestimmter Sportangebote</w:t>
      </w:r>
      <w:r>
        <w:t>)</w:t>
      </w:r>
      <w:r w:rsidRPr="006F529D">
        <w:t xml:space="preserve"> zu erbringen. </w:t>
      </w:r>
      <w:r w:rsidR="006534BD">
        <w:t xml:space="preserve">Von der </w:t>
      </w:r>
      <w:r>
        <w:t xml:space="preserve">Gemeinde </w:t>
      </w:r>
      <w:r w:rsidR="006534BD">
        <w:t xml:space="preserve">erhält der </w:t>
      </w:r>
      <w:r>
        <w:t xml:space="preserve">Verein </w:t>
      </w:r>
      <w:r w:rsidRPr="006F529D">
        <w:t>eine pauschale Kostenerstattung für die Bewirtschaftung.</w:t>
      </w:r>
    </w:p>
    <w:p w14:paraId="22AC63C9" w14:textId="23DACEBD" w:rsidR="00947D2B" w:rsidRPr="006F529D" w:rsidRDefault="00947D2B" w:rsidP="00947D2B">
      <w:pPr>
        <w:shd w:val="clear" w:color="auto" w:fill="E6E6E6"/>
        <w:spacing w:after="140"/>
        <w:ind w:left="284"/>
      </w:pPr>
      <w:r w:rsidRPr="006F529D">
        <w:t xml:space="preserve">Die Zahlungen </w:t>
      </w:r>
      <w:r>
        <w:t>der Gemeinde</w:t>
      </w:r>
      <w:r w:rsidRPr="006F529D">
        <w:t xml:space="preserve"> stellen einen echten</w:t>
      </w:r>
      <w:r w:rsidR="006534BD">
        <w:t>,</w:t>
      </w:r>
      <w:r w:rsidRPr="006F529D">
        <w:t xml:space="preserve"> nichtsteuerbaren Zuschuss dar. </w:t>
      </w:r>
      <w:r>
        <w:t xml:space="preserve">Die Gemeinde </w:t>
      </w:r>
      <w:r w:rsidRPr="006F529D">
        <w:t xml:space="preserve">verfolgt mit diesen Zahlungen den Zweck, die Tätigkeit </w:t>
      </w:r>
      <w:r>
        <w:t>des Vereins</w:t>
      </w:r>
      <w:r w:rsidRPr="006F529D">
        <w:t xml:space="preserve"> allgemein zu fördern und </w:t>
      </w:r>
      <w:r>
        <w:t>ihn</w:t>
      </w:r>
      <w:r w:rsidRPr="006F529D">
        <w:t xml:space="preserve"> in die Lage zu versetzen, seine gemeinnützige Tätigkeit auszuüben</w:t>
      </w:r>
      <w:r>
        <w:t>.</w:t>
      </w:r>
    </w:p>
    <w:p w14:paraId="4A7CCA2B" w14:textId="77777777" w:rsidR="00947D2B" w:rsidRDefault="00947D2B" w:rsidP="00947D2B">
      <w:pPr>
        <w:pStyle w:val="berschrift2"/>
      </w:pPr>
      <w:r w:rsidRPr="007A77CA">
        <w:t>Betriebsveranstaltung</w:t>
      </w:r>
      <w:r>
        <w:tab/>
      </w:r>
    </w:p>
    <w:p w14:paraId="3064BDA5" w14:textId="77777777" w:rsidR="00947D2B" w:rsidRDefault="00947D2B" w:rsidP="00947D2B">
      <w:pPr>
        <w:pStyle w:val="berschrift1"/>
      </w:pPr>
      <w:r>
        <w:t xml:space="preserve">Lohnsteuerpauschalierung auch bei </w:t>
      </w:r>
      <w:r>
        <w:br/>
        <w:t>Vorstandsweihnachtsfeier möglich</w:t>
      </w:r>
    </w:p>
    <w:p w14:paraId="23CC3D9B" w14:textId="40315BA3" w:rsidR="00947D2B" w:rsidRDefault="00947D2B" w:rsidP="00947D2B">
      <w:pPr>
        <w:spacing w:after="140"/>
      </w:pPr>
      <w:r>
        <w:t xml:space="preserve">Nach Ansicht des Bundesfinanzhofs gilt als Betriebsveranstaltung jede Veranstaltung auf betrieblicher Ebene mit gesellschaftlichem Charakter. Das </w:t>
      </w:r>
      <w:r w:rsidRPr="007A77CA">
        <w:t>eingrenzende</w:t>
      </w:r>
      <w:r w:rsidRPr="00242DA3">
        <w:t xml:space="preserve"> Kriterium des </w:t>
      </w:r>
      <w:r w:rsidRPr="00685FF9">
        <w:rPr>
          <w:b/>
          <w:bCs/>
        </w:rPr>
        <w:t>„Offenstehens“</w:t>
      </w:r>
      <w:r>
        <w:t xml:space="preserve"> für alle Betriebsangehörigen sei nicht Gegenstand der Legaldefinition der Betriebsveranstaltung, sondern nur ergänzende Voraussetzung für den Freibetrag (110 €).</w:t>
      </w:r>
    </w:p>
    <w:p w14:paraId="6D6434E7" w14:textId="77777777" w:rsidR="00947D2B" w:rsidRDefault="00947D2B" w:rsidP="00947D2B">
      <w:pPr>
        <w:spacing w:after="140"/>
      </w:pPr>
      <w:r>
        <w:t xml:space="preserve">Die </w:t>
      </w:r>
      <w:r w:rsidRPr="007A77CA">
        <w:rPr>
          <w:b/>
          <w:bCs/>
        </w:rPr>
        <w:t>25%ige Pauschalversteuerung</w:t>
      </w:r>
      <w:r>
        <w:t xml:space="preserve"> der Zuwendungen war damit im Streitfall möglich, obwohl der Arbeitgeber zwei Weihnachtsfeiern jeweils nur für Vorstandsmitglieder und die obere Führungsriege veranstaltet hatte.</w:t>
      </w:r>
    </w:p>
    <w:p w14:paraId="384E7AB4" w14:textId="77777777" w:rsidR="00947D2B" w:rsidRDefault="00947D2B" w:rsidP="00947D2B">
      <w:pPr>
        <w:pStyle w:val="berschrift2"/>
      </w:pPr>
      <w:r>
        <w:t>Corona-Hilfen</w:t>
      </w:r>
      <w:r>
        <w:tab/>
      </w:r>
    </w:p>
    <w:p w14:paraId="35C61DBD" w14:textId="77777777" w:rsidR="00947D2B" w:rsidRDefault="00947D2B" w:rsidP="00947D2B">
      <w:pPr>
        <w:pStyle w:val="berschrift1"/>
      </w:pPr>
      <w:r>
        <w:t xml:space="preserve">Welcher Referenzzeitraum bei </w:t>
      </w:r>
      <w:r>
        <w:br/>
        <w:t>Profisportvereinen anzusetzen ist</w:t>
      </w:r>
    </w:p>
    <w:p w14:paraId="0C6FA70B" w14:textId="43EB341A" w:rsidR="00947D2B" w:rsidRDefault="00947D2B" w:rsidP="00947D2B">
      <w:r>
        <w:t xml:space="preserve">Während der Corona-Pandemie gab es spezielle Überbrückungshilfen für Profisportvereine. Einzelheiten waren auf Bundesebene in einer Förderrichtlinie geregelt. </w:t>
      </w:r>
      <w:r w:rsidRPr="002A29E3">
        <w:t>Die Höhe der Billigkeitsleistung erg</w:t>
      </w:r>
      <w:r>
        <w:t>a</w:t>
      </w:r>
      <w:r w:rsidRPr="002A29E3">
        <w:t xml:space="preserve">b sich </w:t>
      </w:r>
      <w:r>
        <w:t xml:space="preserve">jeweils </w:t>
      </w:r>
      <w:r w:rsidRPr="002A29E3">
        <w:t xml:space="preserve">aus der Differenz der tatsächlichen Ticketeinnahmen im </w:t>
      </w:r>
      <w:r>
        <w:t xml:space="preserve">Jahr </w:t>
      </w:r>
      <w:r w:rsidRPr="002A29E3">
        <w:t xml:space="preserve">2019 und </w:t>
      </w:r>
      <w:r w:rsidR="00252150">
        <w:t xml:space="preserve">jener </w:t>
      </w:r>
      <w:r w:rsidRPr="002A29E3">
        <w:t xml:space="preserve">im </w:t>
      </w:r>
      <w:r>
        <w:t xml:space="preserve">Jahr </w:t>
      </w:r>
      <w:r w:rsidRPr="002A29E3">
        <w:t>2021.</w:t>
      </w:r>
      <w:r>
        <w:t xml:space="preserve"> </w:t>
      </w:r>
      <w:r w:rsidRPr="002A29E3">
        <w:t>Welche Ticketeinnahmen bei Aufsteigern, Absteigern und Wettbewerben, die in einer mehr als einjährigen Periodizität durchgeführt w</w:t>
      </w:r>
      <w:r>
        <w:t>u</w:t>
      </w:r>
      <w:r w:rsidRPr="002A29E3">
        <w:t>rden, anzusetzen</w:t>
      </w:r>
      <w:r>
        <w:t xml:space="preserve"> waren, ergab sich aus den </w:t>
      </w:r>
      <w:r w:rsidRPr="002A29E3">
        <w:t>FAQs zum Förderprogramm</w:t>
      </w:r>
      <w:r>
        <w:t xml:space="preserve">. </w:t>
      </w:r>
      <w:r w:rsidRPr="002A29E3">
        <w:t xml:space="preserve">Eine besondere Behandlung von </w:t>
      </w:r>
      <w:r w:rsidRPr="002A29E3">
        <w:rPr>
          <w:b/>
          <w:bCs/>
        </w:rPr>
        <w:t>Auf- und Absteigern</w:t>
      </w:r>
      <w:r w:rsidRPr="002A29E3">
        <w:t xml:space="preserve"> sowie Wettbewerben mit mehr als einjähriger Periodizität </w:t>
      </w:r>
      <w:r>
        <w:t>war</w:t>
      </w:r>
      <w:r w:rsidRPr="002A29E3">
        <w:t xml:space="preserve"> </w:t>
      </w:r>
      <w:r>
        <w:t>da</w:t>
      </w:r>
      <w:r w:rsidRPr="002A29E3">
        <w:t>nach nicht vorgesehen.</w:t>
      </w:r>
    </w:p>
    <w:p w14:paraId="3267FA22" w14:textId="6E91CEB7" w:rsidR="00947D2B" w:rsidRDefault="00947D2B" w:rsidP="00947D2B">
      <w:r>
        <w:t xml:space="preserve">Das Verwaltungsgericht Köln (VG) beurteilt diese </w:t>
      </w:r>
      <w:r w:rsidRPr="009D10DA">
        <w:t xml:space="preserve">Ausgestaltung </w:t>
      </w:r>
      <w:r>
        <w:t xml:space="preserve">des </w:t>
      </w:r>
      <w:r w:rsidRPr="009D10DA">
        <w:t>Förderprogramms</w:t>
      </w:r>
      <w:r>
        <w:t xml:space="preserve"> als </w:t>
      </w:r>
      <w:r w:rsidRPr="009D10DA">
        <w:t>legitim</w:t>
      </w:r>
      <w:r>
        <w:t>. Es hat die Klage eines Sportvereins abgewie</w:t>
      </w:r>
      <w:r>
        <w:t>sen, dessen</w:t>
      </w:r>
      <w:r w:rsidRPr="00DB5245">
        <w:t xml:space="preserve"> </w:t>
      </w:r>
      <w:r>
        <w:t xml:space="preserve">Antrag auf Gewährung einer Corona-Hilfe für den Profisport 2021 abgelehnt worden war. In der Saison 2018/2019 hatte seine erste Mannschaft in der 2. Bundesliga und in der Saison 2021/2022 in der 1. Bundesliga (wie schon bis Ende 2015) gespielt. Die Ticketeinnahmen des Vereins waren im </w:t>
      </w:r>
      <w:r w:rsidRPr="000C2834">
        <w:rPr>
          <w:b/>
          <w:bCs/>
        </w:rPr>
        <w:t>Referenzjahr 2019</w:t>
      </w:r>
      <w:r>
        <w:t xml:space="preserve"> naturgemäß deutlich geringer ausgefallen als in der letzten Erstligasaison (2015) und deshalb seiner Ansicht nach nicht vergleichbar. Laut VG ist es</w:t>
      </w:r>
      <w:r w:rsidRPr="009D10DA">
        <w:t xml:space="preserve"> sachgerecht und nicht willkürlich, dass der Zuwendungsgeber bei der Bestimmung der Förderhöhe </w:t>
      </w:r>
      <w:r>
        <w:t>nicht</w:t>
      </w:r>
      <w:r w:rsidRPr="009D10DA">
        <w:t xml:space="preserve"> zwischen Vereinen</w:t>
      </w:r>
      <w:r>
        <w:t xml:space="preserve">, die </w:t>
      </w:r>
      <w:r w:rsidRPr="009D10DA">
        <w:t>schon im Referenzjahr in der</w:t>
      </w:r>
      <w:r w:rsidR="00E635E4">
        <w:t>selben</w:t>
      </w:r>
      <w:r w:rsidRPr="009D10DA">
        <w:t xml:space="preserve"> Liga gespielt haben, und Auf- oder Absteiger</w:t>
      </w:r>
      <w:r>
        <w:t>n differenziert.</w:t>
      </w:r>
    </w:p>
    <w:p w14:paraId="59F3B979" w14:textId="77777777" w:rsidR="00947D2B" w:rsidRDefault="00947D2B" w:rsidP="00947D2B">
      <w:pPr>
        <w:pStyle w:val="berschrift2"/>
      </w:pPr>
      <w:r>
        <w:t>Beschlussfähigkeit</w:t>
      </w:r>
      <w:r>
        <w:tab/>
      </w:r>
    </w:p>
    <w:p w14:paraId="761F4FF7" w14:textId="77777777" w:rsidR="00947D2B" w:rsidRDefault="00947D2B" w:rsidP="00947D2B">
      <w:pPr>
        <w:pStyle w:val="berschrift1"/>
      </w:pPr>
      <w:r>
        <w:t>Wann ist eine Eventualeinberufung zur Mitgliederversammlung möglich?</w:t>
      </w:r>
    </w:p>
    <w:p w14:paraId="2A4B9DFC" w14:textId="4C318F81" w:rsidR="00947D2B" w:rsidRPr="00FE702C" w:rsidRDefault="00947D2B" w:rsidP="00947D2B">
      <w:r w:rsidRPr="00FE702C">
        <w:t xml:space="preserve">Um </w:t>
      </w:r>
      <w:r w:rsidRPr="0099614E">
        <w:t>Beschlüsse in der Mitgliederversammlung wirksam fassen</w:t>
      </w:r>
      <w:r w:rsidRPr="00FE702C">
        <w:t xml:space="preserve"> zu können</w:t>
      </w:r>
      <w:r w:rsidRPr="0099614E">
        <w:t xml:space="preserve">, </w:t>
      </w:r>
      <w:r w:rsidRPr="00FE702C">
        <w:t xml:space="preserve">müssen </w:t>
      </w:r>
      <w:r w:rsidRPr="0099614E">
        <w:t>einige Vor</w:t>
      </w:r>
      <w:r>
        <w:softHyphen/>
      </w:r>
      <w:r w:rsidRPr="0099614E">
        <w:t xml:space="preserve">aussetzungen </w:t>
      </w:r>
      <w:r w:rsidRPr="00FE702C">
        <w:t xml:space="preserve">erfüllt sein; dazu gehört die </w:t>
      </w:r>
      <w:r w:rsidRPr="0099614E">
        <w:t xml:space="preserve">Beschlussfähigkeit. </w:t>
      </w:r>
      <w:r w:rsidRPr="00FE702C">
        <w:t xml:space="preserve">Das bedeutet, dass für die Beschlussfassung </w:t>
      </w:r>
      <w:r w:rsidRPr="0099614E">
        <w:t xml:space="preserve">eine </w:t>
      </w:r>
      <w:r w:rsidRPr="00FE702C">
        <w:t xml:space="preserve">bestimmte </w:t>
      </w:r>
      <w:r w:rsidRPr="0099614E">
        <w:t xml:space="preserve">Anzahl von </w:t>
      </w:r>
      <w:r w:rsidRPr="00FE702C">
        <w:t>Mitglieder</w:t>
      </w:r>
      <w:r w:rsidRPr="0099614E">
        <w:t xml:space="preserve">n anwesend sein bzw. mitwirken muss, </w:t>
      </w:r>
      <w:r w:rsidRPr="00FE702C">
        <w:t>um</w:t>
      </w:r>
      <w:r w:rsidRPr="0099614E">
        <w:t xml:space="preserve"> überhaupt Beschlüsse fassen </w:t>
      </w:r>
      <w:r w:rsidRPr="00FE702C">
        <w:t xml:space="preserve">zu </w:t>
      </w:r>
      <w:r w:rsidRPr="0099614E">
        <w:t xml:space="preserve">können. </w:t>
      </w:r>
      <w:r w:rsidRPr="00FE702C">
        <w:t xml:space="preserve">Das Gesetz regelt keine bestimmte </w:t>
      </w:r>
      <w:r w:rsidRPr="0099614E">
        <w:t xml:space="preserve">Quote, ab der eine Versammlung als beschlussfähig gilt. </w:t>
      </w:r>
      <w:r w:rsidRPr="00FE702C">
        <w:t xml:space="preserve">Eine diesbezügliche Bestimmung enthält in der Regel die </w:t>
      </w:r>
      <w:r w:rsidRPr="00FE702C">
        <w:rPr>
          <w:b/>
          <w:bCs/>
        </w:rPr>
        <w:t>Satzung</w:t>
      </w:r>
      <w:r w:rsidRPr="00FE702C">
        <w:t xml:space="preserve">. Mitunter ist eine </w:t>
      </w:r>
      <w:r w:rsidRPr="0099614E">
        <w:t>Mitgliederversammlung</w:t>
      </w:r>
      <w:r w:rsidRPr="00FE702C">
        <w:t xml:space="preserve"> nicht beschlussfähig, weil zu wenige Teilnehmer erschienen sind. </w:t>
      </w:r>
      <w:r w:rsidRPr="0099614E">
        <w:t>Das Oberlandesgericht Karlsruhe</w:t>
      </w:r>
      <w:r w:rsidRPr="00FE702C">
        <w:t xml:space="preserve"> </w:t>
      </w:r>
      <w:r w:rsidRPr="0099614E">
        <w:t>(OLG)</w:t>
      </w:r>
      <w:r w:rsidRPr="00FE702C">
        <w:t xml:space="preserve"> hat untersucht, wann in einem solchen Fall eine </w:t>
      </w:r>
      <w:r w:rsidRPr="0099614E">
        <w:t>Anschluss- bzw. Wiederholungsversammlung im Wege der Eventual</w:t>
      </w:r>
      <w:r w:rsidR="00741524">
        <w:t>ein</w:t>
      </w:r>
      <w:r w:rsidRPr="0099614E">
        <w:t>berufung</w:t>
      </w:r>
      <w:r w:rsidRPr="00FE702C">
        <w:t xml:space="preserve"> einberufen werden darf.</w:t>
      </w:r>
    </w:p>
    <w:p w14:paraId="31F88BB6" w14:textId="52FEEE2C" w:rsidR="00947D2B" w:rsidRDefault="00947D2B" w:rsidP="00947D2B">
      <w:r>
        <w:t xml:space="preserve">Im Streitfall sah die Satzung vor, dass für deren Änderung „die Hälfte der Mitglieder anwesend sein muss. Sollte dies nicht der Fall sein, ist eine weitere Mitgliederversammlung einzuberufen, die berechtigt ist, die Satzung ohne Mitgliedermindestanzahl zu ändern.“ Der Verein lud zur Mitgliederversammlung für 18:00 Uhr ein und wies darauf hin, dass sich im Fall der fehlenden Beschlussfähigkeit um 18:15 Uhr eine weitere ordentliche Mitgliederversammlung anschließe, die auch stattfand. Das Registergericht wies die Anmeldung der Satzungsänderung zurück. Der Beschluss sei nicht wirksam gefasst worden, weil die Satzung keine Regelung zu einer </w:t>
      </w:r>
      <w:r>
        <w:rPr>
          <w:b/>
        </w:rPr>
        <w:t>Eventualeinberufung</w:t>
      </w:r>
      <w:r>
        <w:t xml:space="preserve"> vorsehe und die Anmeldung daher unter einem nichtbehebbaren Mangel leide.</w:t>
      </w:r>
    </w:p>
    <w:p w14:paraId="5DD80687" w14:textId="0066D2BE" w:rsidR="00947D2B" w:rsidRDefault="00947D2B" w:rsidP="00947D2B">
      <w:r>
        <w:t>Das OLG teilt diese Auffassung. Das Registergericht habe nicht nur die formelle Ordnungsmäßigkeit zu prüfen, sondern auch, ob der satzungs</w:t>
      </w:r>
      <w:r w:rsidRPr="007A77CA">
        <w:t xml:space="preserve">ändernde Beschluss mit der nach der Satzung </w:t>
      </w:r>
      <w:r w:rsidRPr="00FE702C">
        <w:rPr>
          <w:b/>
          <w:bCs/>
        </w:rPr>
        <w:t>er</w:t>
      </w:r>
      <w:r w:rsidRPr="00FE702C">
        <w:rPr>
          <w:b/>
          <w:bCs/>
        </w:rPr>
        <w:lastRenderedPageBreak/>
        <w:t>forderlichen Mehrheit</w:t>
      </w:r>
      <w:r>
        <w:t xml:space="preserve"> gefasst worden sei. </w:t>
      </w:r>
      <w:r w:rsidRPr="00947D2B">
        <w:t xml:space="preserve">Der Beschluss über die Satzungsänderung sei nicht ordnungsgemäß gefasst worden. In diesem </w:t>
      </w:r>
      <w:r>
        <w:t>Fall hätte eine weitere Mitgliederversammlung einberufen werden müssen. Denn die Satzung habe keine Eventualeinberufung - also eine bereits mit der ursprünglichen Einladung verbundene vorsorgliche Einladung zu einer zweiten Versammlung - vorgesehen. In einer nicht durch die Satzung zugelassenen Mitgliederversammlung gefasste Beschlüsse seien grundsätzlich nichtig, daher habe das Registergericht eine Eintragung zu Recht verweigert.</w:t>
      </w:r>
    </w:p>
    <w:p w14:paraId="437F4B59" w14:textId="77777777" w:rsidR="00947D2B" w:rsidRDefault="00947D2B" w:rsidP="00947D2B">
      <w:pPr>
        <w:pStyle w:val="berschrift2"/>
      </w:pPr>
      <w:r>
        <w:t>Theater</w:t>
      </w:r>
      <w:r>
        <w:tab/>
      </w:r>
    </w:p>
    <w:p w14:paraId="057A7B2A" w14:textId="77777777" w:rsidR="00947D2B" w:rsidRPr="00C22E71" w:rsidRDefault="00947D2B" w:rsidP="00947D2B">
      <w:pPr>
        <w:pStyle w:val="berschrift1"/>
      </w:pPr>
      <w:r>
        <w:t>Gastverträge sind regelmäßig nicht als Arbeitsverträge zu qualifizieren</w:t>
      </w:r>
    </w:p>
    <w:p w14:paraId="46D3A7F7" w14:textId="77777777" w:rsidR="00947D2B" w:rsidRDefault="00947D2B" w:rsidP="00947D2B">
      <w:r>
        <w:t xml:space="preserve">Das Landesarbeitsgericht Köln (LAG) hat sich mit der Risikoverteilung bei einem Theaterbrand auseinandergesetzt. Darüber hinaus hat es geklärt, wie bei einer Sängerin und Schauspielerin mit Gastvertrag </w:t>
      </w:r>
      <w:r w:rsidRPr="002F3D0B">
        <w:rPr>
          <w:b/>
          <w:bCs/>
        </w:rPr>
        <w:t>freie Mitarbeit</w:t>
      </w:r>
      <w:r>
        <w:t xml:space="preserve"> und ein Arbeitsverhältnis voneinander abzugrenzen sind.</w:t>
      </w:r>
    </w:p>
    <w:p w14:paraId="40DF80ED" w14:textId="77777777" w:rsidR="00947D2B" w:rsidRDefault="00947D2B" w:rsidP="00947D2B">
      <w:r>
        <w:t xml:space="preserve">Die Klägerin sollte laut Vertrag nur für die Proben und Auftritte bezahlt werden. Urlaubsansprüche und Entgeltfortzahlung sah der Vertrag ausdrücklich nicht vor. Das Theater hatte die Klägerin jedoch als „Arbeitnehmerin </w:t>
      </w:r>
      <w:r w:rsidRPr="002F3D0B">
        <w:rPr>
          <w:b/>
          <w:bCs/>
        </w:rPr>
        <w:t>zur Sozialversicherung“ angemeldet</w:t>
      </w:r>
      <w:r>
        <w:t>. Nachdem das Theater aufgrund von Brandstiftung nicht genutzt werden konnte, bezahlte es die Klägerin nicht mehr. Es verwies auf eine Klausel im Vertrag, nach der es nicht zur Zahlung verpflichtet sei, wenn aus Gründen höherer Gewalt Veranstaltungen nicht möglich seien.</w:t>
      </w:r>
    </w:p>
    <w:p w14:paraId="5961E7E7" w14:textId="43DE0A41" w:rsidR="00947D2B" w:rsidRDefault="00947D2B" w:rsidP="00947D2B">
      <w:r>
        <w:t xml:space="preserve">Dem Argument der Klägerin, dass sie als Arbeitnehmerin anzusehen sei, ist das LAG nicht gefolgt. Aus dem Vertrag hätten sich zwar zeitliche und inhaltliche Vorgaben ergeben, diese seien aber der spezifischen Tätigkeit geschuldet. Die Gesamtwürdigung aller maßgeblichen Umstände ergebe, dass </w:t>
      </w:r>
      <w:r w:rsidRPr="002F3D0B">
        <w:rPr>
          <w:b/>
          <w:bCs/>
        </w:rPr>
        <w:t>kein Arbeitsverhältnis</w:t>
      </w:r>
      <w:r>
        <w:t xml:space="preserve"> vorgelegen habe. Der Umstand, dass die Klägerin als „Arbeitnehmerin zur Sozialversicherung“ angemeldet </w:t>
      </w:r>
      <w:r w:rsidR="00F92A6D">
        <w:t>wurde</w:t>
      </w:r>
      <w:r>
        <w:t xml:space="preserve">, war für das </w:t>
      </w:r>
      <w:r w:rsidR="00F92A6D">
        <w:t xml:space="preserve">LAG </w:t>
      </w:r>
      <w:r>
        <w:t xml:space="preserve">ebenfalls von untergeordneter Bedeutung. Im Sozialrecht komme es darauf an, ob ein Beschäftigungsverhältnis gegeben sei. Dies </w:t>
      </w:r>
      <w:r w:rsidR="00F92A6D">
        <w:t xml:space="preserve">könne </w:t>
      </w:r>
      <w:r>
        <w:t xml:space="preserve">- </w:t>
      </w:r>
      <w:r w:rsidR="00F92A6D">
        <w:t xml:space="preserve">müsse </w:t>
      </w:r>
      <w:r>
        <w:t>aber nicht - ein Arbeitsverhältnis sein.</w:t>
      </w:r>
    </w:p>
    <w:p w14:paraId="1C0A60A9" w14:textId="21421657" w:rsidR="00947D2B" w:rsidRDefault="00947D2B" w:rsidP="00947D2B">
      <w:pPr>
        <w:spacing w:after="140"/>
      </w:pPr>
      <w:r>
        <w:t xml:space="preserve">Da die Bühne abgebrannt war, lag ein Fall der </w:t>
      </w:r>
      <w:r w:rsidRPr="002F3D0B">
        <w:rPr>
          <w:b/>
          <w:bCs/>
        </w:rPr>
        <w:t>Unmöglichkeit</w:t>
      </w:r>
      <w:r>
        <w:t xml:space="preserve"> vor, </w:t>
      </w:r>
      <w:r w:rsidR="00F92A6D">
        <w:t xml:space="preserve">den </w:t>
      </w:r>
      <w:r>
        <w:t>das Theater nicht zu verantworten hatte. Aus dem Gastvertrag ergebe sich besonders deutlich, dass es sich bei der Verpflichtung der Klägerin um eine „Fixschuld“ gehandelt habe. Die vorgesehenen Vorstellungster</w:t>
      </w:r>
      <w:r>
        <w:t xml:space="preserve">mine könnten nicht mehr durchgeführt werden, wenn sie verstrichen seien. Trotz möglicherweise intransparenter Klauseln im Vertrag sei für die Künstlerin erkennbar gewesen, dass eine Vergütungspflicht nur </w:t>
      </w:r>
      <w:r w:rsidR="00AE7319">
        <w:t xml:space="preserve">bei tatsächlicher Erbringung der Gegenleistung des Künstlers </w:t>
      </w:r>
      <w:r>
        <w:t>bestanden habe.</w:t>
      </w:r>
    </w:p>
    <w:p w14:paraId="552B01C5" w14:textId="77777777" w:rsidR="00947D2B" w:rsidRDefault="00947D2B" w:rsidP="00947D2B">
      <w:pPr>
        <w:pStyle w:val="berschrift2"/>
        <w:spacing w:before="380"/>
      </w:pPr>
      <w:r>
        <w:t>Bildungsleistungen</w:t>
      </w:r>
      <w:r>
        <w:tab/>
      </w:r>
    </w:p>
    <w:p w14:paraId="6DEFBC41" w14:textId="77777777" w:rsidR="00947D2B" w:rsidRPr="00D6379E" w:rsidRDefault="00947D2B" w:rsidP="00947D2B">
      <w:pPr>
        <w:pStyle w:val="berschrift1"/>
      </w:pPr>
      <w:r>
        <w:t>Umsatzsteuerbefreiung für allgemein- oder berufsbildende Einrichtungen</w:t>
      </w:r>
    </w:p>
    <w:p w14:paraId="2115F3B7" w14:textId="23CC9F17" w:rsidR="00947D2B" w:rsidRDefault="00947D2B" w:rsidP="00947D2B">
      <w:pPr>
        <w:spacing w:after="140"/>
      </w:pPr>
      <w:r w:rsidRPr="002228E3">
        <w:t>D</w:t>
      </w:r>
      <w:r w:rsidRPr="00E17B82">
        <w:t xml:space="preserve">er </w:t>
      </w:r>
      <w:r w:rsidRPr="002228E3">
        <w:t>Gesetzgeber plant im Rahmen des Jahres</w:t>
      </w:r>
      <w:r>
        <w:softHyphen/>
      </w:r>
      <w:r w:rsidRPr="002228E3">
        <w:t xml:space="preserve">steuergesetzes 2024, den </w:t>
      </w:r>
      <w:r w:rsidRPr="00E17B82">
        <w:t xml:space="preserve">Anwendungsbereich der Umsatzsteuerbefreiung </w:t>
      </w:r>
      <w:r w:rsidR="00AE7319">
        <w:t>für</w:t>
      </w:r>
      <w:r w:rsidR="00AE7319" w:rsidRPr="00E17B82">
        <w:t xml:space="preserve"> </w:t>
      </w:r>
      <w:r w:rsidRPr="00E17B82">
        <w:t>Bildungsleistungen deutlich aus</w:t>
      </w:r>
      <w:r w:rsidRPr="002228E3">
        <w:t>zu</w:t>
      </w:r>
      <w:r w:rsidRPr="00E17B82">
        <w:t xml:space="preserve">weiten. </w:t>
      </w:r>
      <w:r w:rsidRPr="002228E3">
        <w:t xml:space="preserve">Hintergrund sind die europarechtlichen Vorgaben. Die Gesetzesänderung zielt auf Einrichtungen ab, die den Teilnehmern </w:t>
      </w:r>
      <w:r w:rsidRPr="00E17B82">
        <w:t xml:space="preserve">spezielle Kenntnisse und Fähigkeiten im Bereich der </w:t>
      </w:r>
      <w:r w:rsidRPr="00E17B82">
        <w:rPr>
          <w:b/>
          <w:bCs/>
        </w:rPr>
        <w:t>Ausbildung</w:t>
      </w:r>
      <w:r w:rsidRPr="002228E3">
        <w:t xml:space="preserve"> und</w:t>
      </w:r>
      <w:r w:rsidRPr="00E17B82">
        <w:t xml:space="preserve"> der </w:t>
      </w:r>
      <w:r w:rsidRPr="00E17B82">
        <w:rPr>
          <w:b/>
          <w:bCs/>
        </w:rPr>
        <w:t>beruflichen Umschulung</w:t>
      </w:r>
      <w:r w:rsidRPr="00E17B82">
        <w:t xml:space="preserve"> vermitteln</w:t>
      </w:r>
      <w:r w:rsidRPr="002228E3">
        <w:t xml:space="preserve">. Das können auch gewerbliche Einrichtungen sein </w:t>
      </w:r>
      <w:r w:rsidRPr="00E17B82">
        <w:t>(z.B. Seminaranbieter)</w:t>
      </w:r>
      <w:r w:rsidRPr="002228E3">
        <w:t>.</w:t>
      </w:r>
    </w:p>
    <w:p w14:paraId="62336EBF" w14:textId="77777777" w:rsidR="00947D2B" w:rsidRDefault="00947D2B" w:rsidP="00947D2B">
      <w:pPr>
        <w:spacing w:after="140"/>
      </w:pPr>
      <w:r w:rsidRPr="002228E3">
        <w:t xml:space="preserve">Dagegen können </w:t>
      </w:r>
      <w:r w:rsidRPr="00E17B82">
        <w:t xml:space="preserve">Leistungen </w:t>
      </w:r>
      <w:r w:rsidRPr="002228E3">
        <w:t>i</w:t>
      </w:r>
      <w:r w:rsidRPr="00E17B82">
        <w:t xml:space="preserve">m Bereich der </w:t>
      </w:r>
      <w:r w:rsidRPr="00E17B82">
        <w:rPr>
          <w:b/>
          <w:bCs/>
        </w:rPr>
        <w:t>Fortbildung</w:t>
      </w:r>
      <w:r w:rsidRPr="00E17B82">
        <w:t xml:space="preserve"> </w:t>
      </w:r>
      <w:r w:rsidRPr="002228E3">
        <w:t xml:space="preserve">nach dem Gesetzentwurf weiterhin steuerpflichtig sein, </w:t>
      </w:r>
      <w:r w:rsidRPr="00E17B82">
        <w:t xml:space="preserve">wenn die </w:t>
      </w:r>
      <w:r w:rsidRPr="002228E3">
        <w:t>Einrichtung</w:t>
      </w:r>
      <w:r w:rsidRPr="00E17B82">
        <w:t xml:space="preserve"> </w:t>
      </w:r>
      <w:r w:rsidRPr="002228E3">
        <w:t xml:space="preserve">eine </w:t>
      </w:r>
      <w:r w:rsidRPr="00E17B82">
        <w:t>systematisch</w:t>
      </w:r>
      <w:r w:rsidRPr="002228E3">
        <w:t>e</w:t>
      </w:r>
      <w:r w:rsidRPr="00E17B82">
        <w:t xml:space="preserve"> Gewinnerzielung anstrebt</w:t>
      </w:r>
      <w:r w:rsidRPr="002228E3">
        <w:t>.</w:t>
      </w:r>
      <w:r>
        <w:t xml:space="preserve"> Leistungen der Fortbildung sollen nur dann von der Umsatzsteuer befreit werden, wenn sie von Einrichtungen erbracht werden, die keine systematische Gewinnerzielung anstreben. Etwaige Gewinne, die trotzdem anfallen, sollen nicht verteilt werden dürfen, sondern müssen zur Erhaltung oder Verbesserung der durch die Einrichtung erbrachten Leistungen verwendet werden.</w:t>
      </w:r>
    </w:p>
    <w:p w14:paraId="6A2C8939" w14:textId="77777777" w:rsidR="00947D2B" w:rsidRPr="002228E3" w:rsidRDefault="00947D2B" w:rsidP="00947D2B">
      <w:pPr>
        <w:spacing w:after="140"/>
      </w:pPr>
      <w:r w:rsidRPr="002228E3">
        <w:t xml:space="preserve">Ausgenommen </w:t>
      </w:r>
      <w:r w:rsidRPr="00E17B82">
        <w:t>von der Befreiung s</w:t>
      </w:r>
      <w:r w:rsidRPr="002228E3">
        <w:t xml:space="preserve">ollen </w:t>
      </w:r>
      <w:r w:rsidRPr="00E17B82">
        <w:t>Leistungen</w:t>
      </w:r>
      <w:r w:rsidRPr="002228E3">
        <w:t xml:space="preserve"> sein</w:t>
      </w:r>
      <w:r w:rsidRPr="00E17B82">
        <w:t xml:space="preserve">, die nach ihrer Zielsetzung der reinen </w:t>
      </w:r>
      <w:r w:rsidRPr="00E17B82">
        <w:rPr>
          <w:b/>
          <w:bCs/>
        </w:rPr>
        <w:t>Freizeitgestaltung</w:t>
      </w:r>
      <w:r w:rsidRPr="00E17B82">
        <w:t xml:space="preserve"> dienen.</w:t>
      </w:r>
    </w:p>
    <w:p w14:paraId="499948DE" w14:textId="77777777" w:rsidR="00947D2B" w:rsidRDefault="00947D2B" w:rsidP="00947D2B">
      <w:pPr>
        <w:spacing w:after="140"/>
      </w:pPr>
      <w:r>
        <w:t xml:space="preserve">Eine wesentliche Erleichterung dürfte die geplante Abschaffung des </w:t>
      </w:r>
      <w:r w:rsidRPr="00D6379E">
        <w:rPr>
          <w:b/>
          <w:bCs/>
        </w:rPr>
        <w:t>Bescheinigungsverfahrens</w:t>
      </w:r>
      <w:r>
        <w:t xml:space="preserve"> darstellen. Nach bisheriger Rechtslage müssen Bildungseinrichtungen sich von der zuständigen Landesbehörde bescheinigen lassen, dass sie auf einen Beruf oder eine vor einer juristischen Person des öffentlichen Rechts abzulegende Prüfung ordnungsgemäß vorbereiten.</w:t>
      </w:r>
    </w:p>
    <w:p w14:paraId="188D3B7A" w14:textId="77777777" w:rsidR="00947D2B" w:rsidRDefault="00947D2B" w:rsidP="00947D2B">
      <w:pPr>
        <w:pStyle w:val="berschrift2"/>
        <w:spacing w:before="380"/>
      </w:pPr>
      <w:r>
        <w:t>Wohngemeinnützigkeit</w:t>
      </w:r>
      <w:r>
        <w:tab/>
      </w:r>
    </w:p>
    <w:p w14:paraId="7D2F6E17" w14:textId="77777777" w:rsidR="00947D2B" w:rsidRDefault="00947D2B" w:rsidP="00947D2B">
      <w:pPr>
        <w:pStyle w:val="berschrift1"/>
      </w:pPr>
      <w:r>
        <w:t>Vergünstigte Vermietung an Hilfs</w:t>
      </w:r>
      <w:r>
        <w:softHyphen/>
        <w:t>bedürftige soll bürokratieärmer werden</w:t>
      </w:r>
    </w:p>
    <w:p w14:paraId="3550714D" w14:textId="35B387E6" w:rsidR="00BE1449" w:rsidRPr="00B928A1" w:rsidRDefault="00947D2B" w:rsidP="00947D2B">
      <w:pPr>
        <w:sectPr w:rsidR="00BE1449" w:rsidRPr="00B928A1">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r>
        <w:t xml:space="preserve">Die Möglichkeit einer gemeinnützigen Überlassung von vergünstigtem Wohnraum soll gesetzlich kodifiziert und in der Sache </w:t>
      </w:r>
      <w:r w:rsidRPr="00776DFF">
        <w:rPr>
          <w:bCs/>
        </w:rPr>
        <w:t>bürokratieärmer</w:t>
      </w:r>
      <w:r>
        <w:t xml:space="preserve"> ausgestaltet werden. Die vergünstigte Vermietung an </w:t>
      </w:r>
      <w:r w:rsidR="00944983">
        <w:t xml:space="preserve">hilfsbedürftige </w:t>
      </w:r>
      <w:r>
        <w:t xml:space="preserve">Personen soll künftig als </w:t>
      </w:r>
      <w:r w:rsidRPr="00776DFF">
        <w:rPr>
          <w:b/>
          <w:bCs/>
        </w:rPr>
        <w:t>idee</w:t>
      </w:r>
      <w:r>
        <w:rPr>
          <w:b/>
          <w:bCs/>
        </w:rPr>
        <w:t>l</w:t>
      </w:r>
      <w:r w:rsidRPr="00776DFF">
        <w:rPr>
          <w:b/>
          <w:bCs/>
        </w:rPr>
        <w:t xml:space="preserve">le </w:t>
      </w:r>
      <w:r w:rsidRPr="007C6653">
        <w:rPr>
          <w:b/>
          <w:bCs/>
        </w:rPr>
        <w:t>Zweckverwirklichung</w:t>
      </w:r>
      <w:r>
        <w:t xml:space="preserve"> anzusehen sein. </w:t>
      </w:r>
      <w:proofErr w:type="spellStart"/>
      <w:r>
        <w:t>Poten</w:t>
      </w:r>
      <w:proofErr w:type="spellEnd"/>
      <w:r>
        <w:t>-</w:t>
      </w:r>
    </w:p>
    <w:p w14:paraId="2754A8C8" w14:textId="64A0C386" w:rsidR="00947D2B" w:rsidRDefault="00947D2B" w:rsidP="00947D2B">
      <w:proofErr w:type="spellStart"/>
      <w:r>
        <w:lastRenderedPageBreak/>
        <w:t>tiell</w:t>
      </w:r>
      <w:proofErr w:type="spellEnd"/>
      <w:r>
        <w:t xml:space="preserve"> entstehende Verluste können damit mit anderen Einnahmen aus dem ideellen Bereich ausgeglichen werden.</w:t>
      </w:r>
    </w:p>
    <w:p w14:paraId="75DBD6F8" w14:textId="20C21D92" w:rsidR="00947D2B" w:rsidRDefault="00947D2B" w:rsidP="00947D2B">
      <w:r>
        <w:t xml:space="preserve">Der Entwurf eines </w:t>
      </w:r>
      <w:r w:rsidRPr="00776DFF">
        <w:rPr>
          <w:b/>
          <w:bCs/>
        </w:rPr>
        <w:t>Jahressteuergesetzes 2024</w:t>
      </w:r>
      <w:r>
        <w:t xml:space="preserve"> sieht vor, dass vor allem die Grenzen für die Ermittlung der Einkommensbezüge durch Erhöhung der Multiplikatoren angepasst werden. Dadurch soll die Entwicklung steigender Mieten im Vergleich zum Einkommen in Zusammenhang mit der aktuell bestehenden Wohnungsnot in Ballungsräumen angemessen abgebildet werden. Die Voraussetzungen der Hilf</w:t>
      </w:r>
      <w:r w:rsidR="00944983">
        <w:t>s</w:t>
      </w:r>
      <w:r>
        <w:t>bedürftigkeit sollen nur noch zu Beginn des jeweiligen Mietverhältnisses vorliegen und entsprechend nachgewiesen werden</w:t>
      </w:r>
      <w:r w:rsidR="00944983" w:rsidRPr="00944983">
        <w:t xml:space="preserve"> </w:t>
      </w:r>
      <w:r w:rsidR="00944983">
        <w:t>müssen</w:t>
      </w:r>
      <w:r>
        <w:t>.</w:t>
      </w:r>
    </w:p>
    <w:p w14:paraId="0DD2F1E4" w14:textId="60E9CB16" w:rsidR="00947D2B" w:rsidRDefault="00947D2B" w:rsidP="00947D2B">
      <w:pPr>
        <w:shd w:val="clear" w:color="auto" w:fill="E6E6E6"/>
        <w:ind w:left="284"/>
      </w:pPr>
      <w:r>
        <w:rPr>
          <w:b/>
        </w:rPr>
        <w:t>Hinweis:</w:t>
      </w:r>
      <w:r>
        <w:t xml:space="preserve"> S</w:t>
      </w:r>
      <w:r w:rsidRPr="000077FD">
        <w:t>oweit eine steuerbegünstigte Körperschaft Wohnraum nicht vergünstigt oder nicht eine</w:t>
      </w:r>
      <w:r w:rsidR="00E635E4">
        <w:t>r</w:t>
      </w:r>
      <w:r>
        <w:t xml:space="preserve"> </w:t>
      </w:r>
      <w:r w:rsidRPr="000077FD">
        <w:t>begünstigte</w:t>
      </w:r>
      <w:r w:rsidR="00E635E4">
        <w:t>n</w:t>
      </w:r>
      <w:r w:rsidRPr="000077FD">
        <w:t xml:space="preserve"> Person überlässt, dient diese nicht mehr der ideellen Zweckverwirklichung.</w:t>
      </w:r>
      <w:r>
        <w:t xml:space="preserve"> </w:t>
      </w:r>
      <w:r w:rsidRPr="000077FD">
        <w:t xml:space="preserve">Diese Tätigkeit </w:t>
      </w:r>
      <w:r>
        <w:t>gilt</w:t>
      </w:r>
      <w:r w:rsidRPr="000077FD">
        <w:t xml:space="preserve"> nach allgemeinen Grundsätze</w:t>
      </w:r>
      <w:r>
        <w:t>n</w:t>
      </w:r>
      <w:r w:rsidRPr="000077FD">
        <w:t xml:space="preserve"> als steuerfreie Vermögensverwaltung. Dies führt regelmäßig nicht zum Verlust der Gemeinnützigkeit</w:t>
      </w:r>
      <w:r>
        <w:t>.</w:t>
      </w:r>
    </w:p>
    <w:p w14:paraId="70966CCD" w14:textId="77777777" w:rsidR="00947D2B" w:rsidRDefault="00947D2B" w:rsidP="00947D2B">
      <w:pPr>
        <w:pStyle w:val="berschrift2"/>
      </w:pPr>
      <w:r>
        <w:t>Insolvenz</w:t>
      </w:r>
      <w:r>
        <w:tab/>
      </w:r>
    </w:p>
    <w:p w14:paraId="55D8DE6C" w14:textId="77777777" w:rsidR="00947D2B" w:rsidRPr="006E209B" w:rsidRDefault="00947D2B" w:rsidP="00947D2B">
      <w:pPr>
        <w:pStyle w:val="berschrift1"/>
      </w:pPr>
      <w:r>
        <w:t>Auch ein mittelbar beteiligter Verein kann „nahestehende Person“ sein</w:t>
      </w:r>
    </w:p>
    <w:p w14:paraId="7BD9A913" w14:textId="77777777" w:rsidR="00947D2B" w:rsidRDefault="00947D2B" w:rsidP="00947D2B">
      <w:r>
        <w:t xml:space="preserve">Vereine können sich an Gesellschaften beteiligen. Vorsicht ist geboten, wenn Zahlungen an den Verein geleistet werden, obwohl die Gesellschaft </w:t>
      </w:r>
      <w:r w:rsidRPr="007A77CA">
        <w:rPr>
          <w:b/>
          <w:bCs/>
        </w:rPr>
        <w:t>finanzielle Probleme</w:t>
      </w:r>
      <w:r>
        <w:t xml:space="preserve"> hat. Dies gilt auch bei einer nur mittelbaren Beteiligung, wie der Bundesgerichtshof (BGH) bestätigt hat.</w:t>
      </w:r>
    </w:p>
    <w:p w14:paraId="683847EB" w14:textId="77777777" w:rsidR="00947D2B" w:rsidRDefault="00947D2B" w:rsidP="00947D2B">
      <w:r>
        <w:t>Ein Verein war alleiniger Gesellschafter einer GmbH, die wiederum alleinige Gesellschafterin einer weiteren GmbH (der späteren Schuldnerin)</w:t>
      </w:r>
      <w:r w:rsidRPr="000C592C">
        <w:t xml:space="preserve"> </w:t>
      </w:r>
      <w:r>
        <w:t xml:space="preserve">war. Der Vereinsvorstand war zudem Mitglied des Beirats der GmbH. Die Schuldnerin überwies wiederholt Gelder an den Verein, was der Insolvenzverwalter zum Anlass nahm, im Wege der </w:t>
      </w:r>
      <w:r w:rsidRPr="007A77CA">
        <w:rPr>
          <w:b/>
          <w:bCs/>
        </w:rPr>
        <w:t>Insolvenzanfechtung</w:t>
      </w:r>
      <w:r>
        <w:t xml:space="preserve"> vom Verein die Zahlung von knapp 300.000 € zu verlangen. Diesen Anspruch sah der BGH als begründet an. Für die Anfechtung genüge eine mittelbare Gläubigerbenachteiligung. Aufgrund seiner mittelbaren Beteiligung an der Schuldnerin sei der Verein als nahestehende Person anzusehen. Insolvenzrechtlich folgt laut BGH daraus die Vermutung, dass er eine etwaige Zahlungsunfähigkeit kannte.</w:t>
      </w:r>
    </w:p>
    <w:p w14:paraId="522BF2B0" w14:textId="0DE6A433" w:rsidR="00947D2B" w:rsidRPr="00432886" w:rsidRDefault="00000000" w:rsidP="00947D2B">
      <w:pPr>
        <w:shd w:val="clear" w:color="auto" w:fill="E6E6E6"/>
        <w:ind w:left="284"/>
      </w:pPr>
      <w:r>
        <w:rPr>
          <w:b/>
          <w:noProof/>
        </w:rPr>
        <w:pict w14:anchorId="759F3D94">
          <v:shapetype id="_x0000_t202" coordsize="21600,21600" o:spt="202" path="m,l,21600r21600,l21600,xe">
            <v:stroke joinstyle="miter"/>
            <v:path gradientshapeok="t" o:connecttype="rect"/>
          </v:shapetype>
          <v:shape id="_x0000_s2123" type="#_x0000_t202" style="position:absolute;left:0;text-align:left;margin-left:-7.85pt;margin-top:707.5pt;width:492pt;height:60pt;flip:y;z-index:1;mso-position-horizontal-relative:margin;mso-position-vertical-relative:margin" filled="f" stroked="f">
            <v:textbox style="mso-next-textbox:#_x0000_s2123">
              <w:txbxContent>
                <w:p w14:paraId="05358252" w14:textId="77777777" w:rsidR="002C384F" w:rsidRDefault="002C384F" w:rsidP="002C384F">
                  <w:pPr>
                    <w:tabs>
                      <w:tab w:val="right" w:pos="9498"/>
                    </w:tabs>
                    <w:spacing w:after="0" w:line="170" w:lineRule="exact"/>
                    <w:rPr>
                      <w:rFonts w:ascii="Arial" w:hAnsi="Arial"/>
                      <w:sz w:val="16"/>
                    </w:rPr>
                  </w:pPr>
                  <w:r>
                    <w:rPr>
                      <w:rFonts w:ascii="Arial" w:hAnsi="Arial"/>
                      <w:spacing w:val="-2"/>
                      <w:sz w:val="16"/>
                      <w:szCs w:val="16"/>
                    </w:rPr>
                    <w:t>                                                                                                                                                                                                                                                                                                                                                                                                                                                                                                                                                                                                                                                                                                                                                                                                                                                                                                                                                                                                                                                                                                        </w:t>
                  </w:r>
                </w:p>
                <w:p w14:paraId="70D541AD" w14:textId="77777777" w:rsidR="002C384F" w:rsidRDefault="002C384F" w:rsidP="002C384F">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w:r>
      <w:r w:rsidR="00947D2B">
        <w:rPr>
          <w:b/>
        </w:rPr>
        <w:t>Hinweis:</w:t>
      </w:r>
      <w:r w:rsidR="00947D2B">
        <w:t xml:space="preserve"> </w:t>
      </w:r>
      <w:r w:rsidR="00947D2B" w:rsidRPr="00432886">
        <w:t xml:space="preserve">Ist der Schuldner eine juristische Person, sind nahestehende Personen auch solche, die mittelbar zu mehr als </w:t>
      </w:r>
      <w:r w:rsidR="00947D2B">
        <w:t>25 %</w:t>
      </w:r>
      <w:r w:rsidR="00947D2B" w:rsidRPr="00432886">
        <w:t xml:space="preserve"> am Kapital des Schuldners beteiligt sind.</w:t>
      </w:r>
      <w:r w:rsidR="00947D2B" w:rsidRPr="00E621CC">
        <w:t xml:space="preserve"> </w:t>
      </w:r>
      <w:r w:rsidR="00947D2B">
        <w:t xml:space="preserve">Im Urteilsfall </w:t>
      </w:r>
      <w:r w:rsidR="00947D2B">
        <w:t>war der Verein zu mehr als 25 % und damit mittelbar an der Schuldnerin beteiligt.</w:t>
      </w:r>
    </w:p>
    <w:p w14:paraId="7B0A2E7D" w14:textId="77777777" w:rsidR="00947D2B" w:rsidRDefault="00947D2B" w:rsidP="00947D2B">
      <w:pPr>
        <w:shd w:val="clear" w:color="auto" w:fill="E6E6E6"/>
        <w:ind w:left="284"/>
      </w:pPr>
      <w:r>
        <w:t xml:space="preserve">Der BGH hat die Sache </w:t>
      </w:r>
      <w:r w:rsidRPr="00432886">
        <w:t>an das Berufungsgericht</w:t>
      </w:r>
      <w:r>
        <w:t xml:space="preserve"> zurückverwiesen, das nun weitere Feststellungen zu treffen hat.</w:t>
      </w:r>
    </w:p>
    <w:p w14:paraId="50A66878" w14:textId="77777777" w:rsidR="00947D2B" w:rsidRDefault="00947D2B" w:rsidP="00947D2B">
      <w:pPr>
        <w:pStyle w:val="berschrift2"/>
      </w:pPr>
      <w:r>
        <w:t>Steuertipp</w:t>
      </w:r>
      <w:r>
        <w:tab/>
      </w:r>
    </w:p>
    <w:p w14:paraId="1B02B590" w14:textId="77777777" w:rsidR="00947D2B" w:rsidRDefault="00947D2B" w:rsidP="00947D2B">
      <w:pPr>
        <w:pStyle w:val="berschrift1"/>
      </w:pPr>
      <w:r>
        <w:t xml:space="preserve">Mehr Planungssicherheit bei </w:t>
      </w:r>
      <w:r>
        <w:br/>
        <w:t>der Rücklagenbildung in Sicht</w:t>
      </w:r>
    </w:p>
    <w:p w14:paraId="51FC135A" w14:textId="77777777" w:rsidR="00947D2B" w:rsidRDefault="00947D2B" w:rsidP="00947D2B">
      <w:r>
        <w:t xml:space="preserve">„Spare in der Zeit, dann hast du in der Not.“ Das ist eine Regel, die auch viele Vereine einhalten - vor allem, bevor größere Projekte umgesetzt werden. Als gemeinnützig anerkannte Vereine sind allerdings gehalten, ihre Mittel zeitnah zu verwenden. Eine </w:t>
      </w:r>
      <w:r w:rsidRPr="000B514D">
        <w:rPr>
          <w:b/>
          <w:bCs/>
        </w:rPr>
        <w:t>zeitnahe Mittelverwendung</w:t>
      </w:r>
      <w:r>
        <w:t xml:space="preserve"> ist gegeben, wenn die Mittel in den folgenden zwei Kalender- oder Wirtschaftsjahren für die steuerbegünstigten satzungsmäßigen Zwecke des Vereins verwendet werden. Manchmal müssen jedoch Mittel angespart werden. Sie können Mittel einer </w:t>
      </w:r>
      <w:r w:rsidRPr="000B514D">
        <w:t>Rücklage</w:t>
      </w:r>
      <w:r>
        <w:t xml:space="preserve"> zuführen, soweit dies erforderlich ist, um Ihre steuerbegünstigten, satzungsmäßigen Zwecke nachhaltig zu erfüllen.</w:t>
      </w:r>
    </w:p>
    <w:p w14:paraId="4E7F4CD2" w14:textId="581CD862" w:rsidR="00947D2B" w:rsidRDefault="00947D2B" w:rsidP="00947D2B">
      <w:pPr>
        <w:shd w:val="clear" w:color="auto" w:fill="E6E6E6"/>
        <w:ind w:left="284"/>
      </w:pPr>
      <w:r>
        <w:rPr>
          <w:b/>
        </w:rPr>
        <w:t>Beispiel:</w:t>
      </w:r>
      <w:r>
        <w:t xml:space="preserve"> Sie planen, in vier Jahren die Heizungsanlage im Vereinsheim zu erneuern. Dafür veranschlagen Sie 50.000 €. Sie stellen daher jährlich 12.500 € in eine Rücklage für dieses Projekt ein.</w:t>
      </w:r>
    </w:p>
    <w:p w14:paraId="04B2E810" w14:textId="63C877CA" w:rsidR="00947D2B" w:rsidRDefault="00947D2B" w:rsidP="00947D2B">
      <w:r>
        <w:t xml:space="preserve">Der </w:t>
      </w:r>
      <w:r w:rsidR="002C384F">
        <w:t>Regierungse</w:t>
      </w:r>
      <w:r>
        <w:t xml:space="preserve">ntwurf eines Jahressteuergesetzes 2024 sieht zur Rücklagenbildung eine Klarstellung vor: </w:t>
      </w:r>
      <w:r w:rsidR="002C384F">
        <w:t>G</w:t>
      </w:r>
      <w:r>
        <w:t xml:space="preserve">emeinnützige Vereine </w:t>
      </w:r>
      <w:r w:rsidR="002C384F">
        <w:t xml:space="preserve">sollen </w:t>
      </w:r>
      <w:r>
        <w:t xml:space="preserve">ihre Mittel ganz oder teilweise einer Rücklage zuführen können, soweit dies erforderlich ist, um ihre steuerbegünstigten, satzungsmäßigen Zwecke nach dem </w:t>
      </w:r>
      <w:r w:rsidRPr="005474DF">
        <w:t xml:space="preserve">Stand der </w:t>
      </w:r>
      <w:r w:rsidRPr="005474DF">
        <w:rPr>
          <w:b/>
          <w:bCs/>
        </w:rPr>
        <w:t>Planung zum Zeitpunkt der Rücklagenbildung</w:t>
      </w:r>
      <w:r>
        <w:t xml:space="preserve"> nachhaltig zu erfüllen. Bei der Rücklagenbildung zur Erfüllung der ideellen Zwecke soll also künftig auf die Planung des Vereins aus </w:t>
      </w:r>
      <w:r w:rsidRPr="005474DF">
        <w:t xml:space="preserve">der </w:t>
      </w:r>
      <w:r w:rsidR="00364B78">
        <w:t>E</w:t>
      </w:r>
      <w:r w:rsidRPr="005474DF">
        <w:t>x-</w:t>
      </w:r>
      <w:r w:rsidR="00364B78" w:rsidRPr="005474DF">
        <w:t>ante</w:t>
      </w:r>
      <w:r w:rsidR="00364B78">
        <w:t>-</w:t>
      </w:r>
      <w:r w:rsidRPr="005474DF">
        <w:t>Perspektive</w:t>
      </w:r>
      <w:r>
        <w:t xml:space="preserve"> abzustellen sein. Damit soll</w:t>
      </w:r>
      <w:r w:rsidR="002C384F">
        <w:t>en</w:t>
      </w:r>
      <w:r>
        <w:t xml:space="preserve"> steuerbegünstigte Vereine mehr Rechts- und Planungssicherheit </w:t>
      </w:r>
      <w:r w:rsidR="002C384F">
        <w:t>erhalt</w:t>
      </w:r>
      <w:r>
        <w:t xml:space="preserve">en, um </w:t>
      </w:r>
      <w:r w:rsidR="002C384F">
        <w:t>vor allem</w:t>
      </w:r>
      <w:r>
        <w:t xml:space="preserve"> langfristige und mittelintensive gemeinnützige Vorhaben umsetzen zu können.</w:t>
      </w:r>
    </w:p>
    <w:p w14:paraId="5E7D6422" w14:textId="10F5DEC2" w:rsidR="00947D2B" w:rsidRDefault="00947D2B" w:rsidP="00947D2B">
      <w:pPr>
        <w:shd w:val="clear" w:color="auto" w:fill="E6E6E6"/>
        <w:ind w:left="284"/>
      </w:pPr>
      <w:r>
        <w:rPr>
          <w:b/>
        </w:rPr>
        <w:t>Hinweis:</w:t>
      </w:r>
      <w:r>
        <w:t xml:space="preserve"> Bei umfangreichen und langfristigen Investitionsvorhaben, vor allem </w:t>
      </w:r>
      <w:r w:rsidR="00364B78">
        <w:t xml:space="preserve">im </w:t>
      </w:r>
      <w:r>
        <w:t>Immobi</w:t>
      </w:r>
      <w:r w:rsidR="00E635E4">
        <w:softHyphen/>
      </w:r>
      <w:r>
        <w:t>liensegment, sollen erforderliche nachträgliche Anpassungen in der Planung erlaubt sein.</w:t>
      </w:r>
    </w:p>
    <w:p w14:paraId="7E19F2EB" w14:textId="77777777" w:rsidR="00BE1449" w:rsidRDefault="00F91FB1" w:rsidP="00F91FB1">
      <w:pPr>
        <w:jc w:val="right"/>
      </w:pPr>
      <w:r>
        <w:t>Mit freundlichen Grüßen</w:t>
      </w:r>
    </w:p>
    <w:p w14:paraId="4489222C" w14:textId="77777777" w:rsidR="00D94A15" w:rsidRDefault="00D94A15" w:rsidP="00F91FB1">
      <w:pPr>
        <w:jc w:val="right"/>
      </w:pPr>
    </w:p>
    <w:p w14:paraId="5BF0D51D" w14:textId="77777777" w:rsidR="00F91FB1" w:rsidRDefault="00F91FB1" w:rsidP="00F91FB1">
      <w:pPr>
        <w:jc w:val="right"/>
      </w:pPr>
    </w:p>
    <w:p w14:paraId="412C9F4A" w14:textId="77777777" w:rsidR="00BE31C5" w:rsidRDefault="00BE31C5" w:rsidP="00F91FB1">
      <w:pPr>
        <w:jc w:val="right"/>
      </w:pPr>
    </w:p>
    <w:sectPr w:rsidR="00BE31C5" w:rsidSect="00BE1449">
      <w:headerReference w:type="even" r:id="rId10"/>
      <w:headerReference w:type="default" r:id="rId11"/>
      <w:footerReference w:type="default" r:id="rId12"/>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EC516" w14:textId="77777777" w:rsidR="004B1592" w:rsidRDefault="004B1592">
      <w:r>
        <w:separator/>
      </w:r>
    </w:p>
  </w:endnote>
  <w:endnote w:type="continuationSeparator" w:id="0">
    <w:p w14:paraId="303FCE95" w14:textId="77777777" w:rsidR="004B1592" w:rsidRDefault="004B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0D918" w14:textId="77777777" w:rsidR="00FD1E5D" w:rsidRPr="00FD6C18" w:rsidRDefault="00FD1E5D"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C03457" w14:textId="77777777" w:rsidR="004B1592" w:rsidRDefault="004B1592">
      <w:r>
        <w:separator/>
      </w:r>
    </w:p>
  </w:footnote>
  <w:footnote w:type="continuationSeparator" w:id="0">
    <w:p w14:paraId="32C08F5F" w14:textId="77777777" w:rsidR="004B1592" w:rsidRDefault="004B1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39263" w14:textId="498C6F4A" w:rsidR="00FD1E5D" w:rsidRDefault="00FD1E5D">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947D2B">
      <w:rPr>
        <w:rFonts w:ascii="Arial" w:hAnsi="Arial" w:cs="Arial"/>
        <w:sz w:val="16"/>
      </w:rPr>
      <w:t>08/24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7C6653">
      <w:rPr>
        <w:rFonts w:ascii="Arial" w:hAnsi="Arial" w:cs="Arial"/>
        <w:noProof/>
        <w:sz w:val="16"/>
      </w:rPr>
      <w:t>4</w:t>
    </w:r>
    <w:r>
      <w:rPr>
        <w:rFonts w:ascii="Arial" w:hAnsi="Arial" w:cs="Arial"/>
        <w:sz w:val="16"/>
      </w:rPr>
      <w:fldChar w:fldCharType="end"/>
    </w:r>
  </w:p>
  <w:p w14:paraId="78C3CFFB" w14:textId="77777777" w:rsidR="00FD1E5D" w:rsidRDefault="00FD1E5D">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DD533" w14:textId="3F185D39" w:rsidR="00FD1E5D" w:rsidRDefault="00FD1E5D">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947D2B">
      <w:rPr>
        <w:rFonts w:ascii="Arial" w:hAnsi="Arial" w:cs="Arial"/>
        <w:sz w:val="16"/>
      </w:rPr>
      <w:t>08/24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7C6653">
      <w:rPr>
        <w:rFonts w:ascii="Arial" w:hAnsi="Arial" w:cs="Arial"/>
        <w:noProof/>
        <w:sz w:val="16"/>
      </w:rPr>
      <w:t>3</w:t>
    </w:r>
    <w:r>
      <w:rPr>
        <w:rFonts w:ascii="Arial" w:hAnsi="Arial" w:cs="Arial"/>
        <w:sz w:val="16"/>
      </w:rPr>
      <w:fldChar w:fldCharType="end"/>
    </w:r>
  </w:p>
  <w:p w14:paraId="2678D268" w14:textId="77777777" w:rsidR="00FD1E5D" w:rsidRDefault="00FD1E5D">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0C498" w14:textId="77777777" w:rsidR="00FD1E5D" w:rsidRDefault="00FD1E5D">
    <w:pPr>
      <w:spacing w:before="2200" w:line="280" w:lineRule="exact"/>
      <w:jc w:val="center"/>
      <w:rPr>
        <w:b/>
        <w:bCs/>
        <w:sz w:val="28"/>
      </w:rPr>
    </w:pPr>
    <w:r>
      <w:rPr>
        <w:b/>
        <w:bCs/>
        <w:sz w:val="28"/>
      </w:rPr>
      <w:t xml:space="preserve"> </w:t>
    </w:r>
  </w:p>
  <w:p w14:paraId="4CF2D55B" w14:textId="77777777" w:rsidR="00FD1E5D" w:rsidRDefault="00FD1E5D">
    <w:pPr>
      <w:jc w:val="center"/>
      <w:rPr>
        <w:rFonts w:ascii="Arial" w:hAnsi="Arial" w:cs="Arial"/>
        <w:sz w:val="20"/>
      </w:rPr>
    </w:pPr>
    <w:r>
      <w:rPr>
        <w:rFonts w:ascii="Arial" w:hAnsi="Arial" w:cs="Arial"/>
        <w:sz w:val="20"/>
      </w:rPr>
      <w:t xml:space="preserve"> </w:t>
    </w:r>
  </w:p>
  <w:p w14:paraId="1AEFF19B" w14:textId="77777777" w:rsidR="00FD1E5D" w:rsidRDefault="00FD1E5D">
    <w:pPr>
      <w:spacing w:after="800"/>
      <w:jc w:val="center"/>
      <w:rPr>
        <w:rFonts w:ascii="Arial" w:hAnsi="Arial" w:cs="Arial"/>
        <w:sz w:val="18"/>
      </w:rPr>
    </w:pPr>
    <w:r>
      <w:rPr>
        <w:rFonts w:ascii="Arial" w:hAnsi="Arial" w:cs="Arial"/>
        <w:sz w:val="20"/>
      </w:rPr>
      <w:t xml:space="preserve"> </w:t>
    </w:r>
  </w:p>
  <w:p w14:paraId="02149038" w14:textId="77777777" w:rsidR="00FD1E5D" w:rsidRDefault="00000000">
    <w:pPr>
      <w:rPr>
        <w:rFonts w:ascii="Helvetica" w:hAnsi="Helvetica"/>
      </w:rPr>
    </w:pPr>
    <w:r>
      <w:rPr>
        <w:noProof/>
        <w:sz w:val="20"/>
      </w:rPr>
      <w:pict w14:anchorId="07464539">
        <v:line id="_x0000_s1025" style="position:absolute;left:0;text-align:left;z-index:1" from="-1.35pt,7.15pt" to="474.85pt,7.15pt" strokeweight="1.5pt"/>
      </w:pict>
    </w:r>
  </w:p>
  <w:p w14:paraId="69ED5DB4" w14:textId="77777777" w:rsidR="00FD1E5D" w:rsidRPr="003A7B0B" w:rsidRDefault="00FD1E5D">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5230A66C" w14:textId="77777777" w:rsidR="00FD1E5D"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2DDA3E5D">
        <v:line id="_x0000_s1026" style="position:absolute;left:0;text-align:left;z-index:2" from="-1.35pt,7.15pt" to="474.85pt,7.15pt" strokeweight="1.5pt"/>
      </w:pict>
    </w:r>
  </w:p>
  <w:p w14:paraId="2F6D5A85" w14:textId="1F801877" w:rsidR="00FD1E5D" w:rsidRDefault="00FD1E5D">
    <w:pPr>
      <w:pStyle w:val="berschrift"/>
      <w:spacing w:before="400" w:after="400"/>
      <w:jc w:val="right"/>
    </w:pPr>
    <w:r>
      <w:t xml:space="preserve">Im </w:t>
    </w:r>
    <w:r w:rsidR="00C352A2">
      <w:t>August</w:t>
    </w:r>
    <w:r>
      <w:t xml:space="preserve"> 20</w:t>
    </w:r>
    <w:r w:rsidR="00DD7B3D">
      <w:t>2</w:t>
    </w:r>
    <w:r w:rsidR="00947D2B">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AF8C2" w14:textId="093B5D84" w:rsidR="00FD1E5D" w:rsidRDefault="00FD1E5D"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947D2B">
      <w:rPr>
        <w:rFonts w:ascii="Arial" w:hAnsi="Arial" w:cs="Arial"/>
        <w:sz w:val="16"/>
      </w:rPr>
      <w:t>08/24</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7C6653">
      <w:rPr>
        <w:rFonts w:ascii="Arial" w:hAnsi="Arial" w:cs="Arial"/>
        <w:noProof/>
        <w:sz w:val="16"/>
      </w:rPr>
      <w:t>6</w:t>
    </w:r>
    <w:r>
      <w:rPr>
        <w:rFonts w:ascii="Arial" w:hAnsi="Arial" w:cs="Arial"/>
        <w:sz w:val="16"/>
      </w:rPr>
      <w:fldChar w:fldCharType="end"/>
    </w:r>
  </w:p>
  <w:p w14:paraId="6FB6304C" w14:textId="77777777" w:rsidR="00FD1E5D" w:rsidRDefault="00FD1E5D"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74B1C" w14:textId="77777777" w:rsidR="00FD1E5D" w:rsidRDefault="00FD1E5D">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7F6933DB" w14:textId="77777777" w:rsidR="00FD1E5D" w:rsidRDefault="00FD1E5D">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AA1557"/>
    <w:multiLevelType w:val="hybridMultilevel"/>
    <w:tmpl w:val="9D3A57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89088343">
    <w:abstractNumId w:val="1"/>
  </w:num>
  <w:num w:numId="2" w16cid:durableId="665937544">
    <w:abstractNumId w:val="0"/>
  </w:num>
  <w:num w:numId="3" w16cid:durableId="1915583349">
    <w:abstractNumId w:val="2"/>
  </w:num>
  <w:num w:numId="4" w16cid:durableId="1025062482">
    <w:abstractNumId w:val="8"/>
  </w:num>
  <w:num w:numId="5" w16cid:durableId="1195196948">
    <w:abstractNumId w:val="6"/>
  </w:num>
  <w:num w:numId="6" w16cid:durableId="42751103">
    <w:abstractNumId w:val="5"/>
  </w:num>
  <w:num w:numId="7" w16cid:durableId="12418374">
    <w:abstractNumId w:val="3"/>
  </w:num>
  <w:num w:numId="8" w16cid:durableId="261106720">
    <w:abstractNumId w:val="7"/>
  </w:num>
  <w:num w:numId="9" w16cid:durableId="490487276">
    <w:abstractNumId w:val="4"/>
  </w:num>
  <w:num w:numId="10" w16cid:durableId="1615869382">
    <w:abstractNumId w:val="10"/>
  </w:num>
  <w:num w:numId="11" w16cid:durableId="597449904">
    <w:abstractNumId w:val="11"/>
  </w:num>
  <w:num w:numId="12" w16cid:durableId="1124152997">
    <w:abstractNumId w:val="2"/>
  </w:num>
  <w:num w:numId="13" w16cid:durableId="1378895107">
    <w:abstractNumId w:val="2"/>
  </w:num>
  <w:num w:numId="14" w16cid:durableId="1781757337">
    <w:abstractNumId w:val="2"/>
  </w:num>
  <w:num w:numId="15" w16cid:durableId="627861941">
    <w:abstractNumId w:val="2"/>
  </w:num>
  <w:num w:numId="16" w16cid:durableId="1497113965">
    <w:abstractNumId w:val="2"/>
  </w:num>
  <w:num w:numId="17" w16cid:durableId="958144348">
    <w:abstractNumId w:val="2"/>
  </w:num>
  <w:num w:numId="18" w16cid:durableId="727148483">
    <w:abstractNumId w:val="2"/>
  </w:num>
  <w:num w:numId="19" w16cid:durableId="2136757186">
    <w:abstractNumId w:val="2"/>
  </w:num>
  <w:num w:numId="20" w16cid:durableId="490633280">
    <w:abstractNumId w:val="2"/>
  </w:num>
  <w:num w:numId="21" w16cid:durableId="1436750085">
    <w:abstractNumId w:val="2"/>
  </w:num>
  <w:num w:numId="22" w16cid:durableId="252082467">
    <w:abstractNumId w:val="2"/>
  </w:num>
  <w:num w:numId="23" w16cid:durableId="1749188595">
    <w:abstractNumId w:val="2"/>
  </w:num>
  <w:num w:numId="24" w16cid:durableId="1648244699">
    <w:abstractNumId w:val="2"/>
  </w:num>
  <w:num w:numId="25" w16cid:durableId="1053892673">
    <w:abstractNumId w:val="2"/>
  </w:num>
  <w:num w:numId="26" w16cid:durableId="1677926214">
    <w:abstractNumId w:val="9"/>
  </w:num>
  <w:num w:numId="27" w16cid:durableId="6768860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24">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10AE5"/>
    <w:rsid w:val="00013620"/>
    <w:rsid w:val="00020BC3"/>
    <w:rsid w:val="00024882"/>
    <w:rsid w:val="000314B3"/>
    <w:rsid w:val="00034226"/>
    <w:rsid w:val="000355B3"/>
    <w:rsid w:val="00036CE3"/>
    <w:rsid w:val="00040B15"/>
    <w:rsid w:val="00042E55"/>
    <w:rsid w:val="00047602"/>
    <w:rsid w:val="000505AF"/>
    <w:rsid w:val="00054866"/>
    <w:rsid w:val="0006112B"/>
    <w:rsid w:val="0006452E"/>
    <w:rsid w:val="0007255F"/>
    <w:rsid w:val="00085EE9"/>
    <w:rsid w:val="00091BF3"/>
    <w:rsid w:val="00097281"/>
    <w:rsid w:val="000A0D25"/>
    <w:rsid w:val="000A5639"/>
    <w:rsid w:val="000A6578"/>
    <w:rsid w:val="000B1357"/>
    <w:rsid w:val="000C500B"/>
    <w:rsid w:val="000E3A34"/>
    <w:rsid w:val="000E3C11"/>
    <w:rsid w:val="000F1DD4"/>
    <w:rsid w:val="000F38C9"/>
    <w:rsid w:val="000F73A3"/>
    <w:rsid w:val="00100480"/>
    <w:rsid w:val="00102846"/>
    <w:rsid w:val="00110630"/>
    <w:rsid w:val="00114565"/>
    <w:rsid w:val="00121767"/>
    <w:rsid w:val="00122810"/>
    <w:rsid w:val="00126DEC"/>
    <w:rsid w:val="00154B3C"/>
    <w:rsid w:val="00155E18"/>
    <w:rsid w:val="0015636D"/>
    <w:rsid w:val="00156B44"/>
    <w:rsid w:val="0016520B"/>
    <w:rsid w:val="001715AA"/>
    <w:rsid w:val="00173DF9"/>
    <w:rsid w:val="00176A7B"/>
    <w:rsid w:val="00176DD1"/>
    <w:rsid w:val="001840B8"/>
    <w:rsid w:val="001870DA"/>
    <w:rsid w:val="0018751C"/>
    <w:rsid w:val="00187547"/>
    <w:rsid w:val="0019245E"/>
    <w:rsid w:val="001951C3"/>
    <w:rsid w:val="001951EE"/>
    <w:rsid w:val="00197B9B"/>
    <w:rsid w:val="001A40A0"/>
    <w:rsid w:val="001A4F84"/>
    <w:rsid w:val="001B4BDD"/>
    <w:rsid w:val="001B6254"/>
    <w:rsid w:val="001C2EC7"/>
    <w:rsid w:val="001E242A"/>
    <w:rsid w:val="001E6D86"/>
    <w:rsid w:val="001F1FB6"/>
    <w:rsid w:val="001F517D"/>
    <w:rsid w:val="002100DA"/>
    <w:rsid w:val="00212AAC"/>
    <w:rsid w:val="0021300D"/>
    <w:rsid w:val="00233778"/>
    <w:rsid w:val="00247FE7"/>
    <w:rsid w:val="00250681"/>
    <w:rsid w:val="002519B4"/>
    <w:rsid w:val="00252150"/>
    <w:rsid w:val="00255035"/>
    <w:rsid w:val="0026236F"/>
    <w:rsid w:val="00265FE6"/>
    <w:rsid w:val="0027303C"/>
    <w:rsid w:val="00274121"/>
    <w:rsid w:val="002801D0"/>
    <w:rsid w:val="00285374"/>
    <w:rsid w:val="0028614E"/>
    <w:rsid w:val="002938DA"/>
    <w:rsid w:val="002A1DD0"/>
    <w:rsid w:val="002A324A"/>
    <w:rsid w:val="002B52E0"/>
    <w:rsid w:val="002C0E16"/>
    <w:rsid w:val="002C384F"/>
    <w:rsid w:val="002C5A18"/>
    <w:rsid w:val="002E2688"/>
    <w:rsid w:val="002E5F24"/>
    <w:rsid w:val="002F0FB9"/>
    <w:rsid w:val="002F5A41"/>
    <w:rsid w:val="00301BDE"/>
    <w:rsid w:val="00303C0D"/>
    <w:rsid w:val="00310B9B"/>
    <w:rsid w:val="00315924"/>
    <w:rsid w:val="003212E9"/>
    <w:rsid w:val="0032752A"/>
    <w:rsid w:val="00334210"/>
    <w:rsid w:val="003407DC"/>
    <w:rsid w:val="00341813"/>
    <w:rsid w:val="00343848"/>
    <w:rsid w:val="00354843"/>
    <w:rsid w:val="003564AC"/>
    <w:rsid w:val="0035769F"/>
    <w:rsid w:val="003635C0"/>
    <w:rsid w:val="00364B78"/>
    <w:rsid w:val="00367C29"/>
    <w:rsid w:val="00372C44"/>
    <w:rsid w:val="003A0DBC"/>
    <w:rsid w:val="003A332B"/>
    <w:rsid w:val="003A571B"/>
    <w:rsid w:val="003A7B0B"/>
    <w:rsid w:val="003B0D32"/>
    <w:rsid w:val="003B1070"/>
    <w:rsid w:val="003B3753"/>
    <w:rsid w:val="003C3E5F"/>
    <w:rsid w:val="003D3137"/>
    <w:rsid w:val="003D5230"/>
    <w:rsid w:val="003D6F8D"/>
    <w:rsid w:val="003D7748"/>
    <w:rsid w:val="003E47DC"/>
    <w:rsid w:val="003F39FE"/>
    <w:rsid w:val="004013F0"/>
    <w:rsid w:val="004033A4"/>
    <w:rsid w:val="00413C34"/>
    <w:rsid w:val="004143FD"/>
    <w:rsid w:val="0042023E"/>
    <w:rsid w:val="0042054A"/>
    <w:rsid w:val="00421A7C"/>
    <w:rsid w:val="00424763"/>
    <w:rsid w:val="00436B89"/>
    <w:rsid w:val="00441A14"/>
    <w:rsid w:val="00453BBA"/>
    <w:rsid w:val="00454316"/>
    <w:rsid w:val="004574D1"/>
    <w:rsid w:val="00460FDB"/>
    <w:rsid w:val="00461081"/>
    <w:rsid w:val="00463354"/>
    <w:rsid w:val="00472C27"/>
    <w:rsid w:val="00474D2A"/>
    <w:rsid w:val="0048680B"/>
    <w:rsid w:val="004930AD"/>
    <w:rsid w:val="00496367"/>
    <w:rsid w:val="004B002A"/>
    <w:rsid w:val="004B1592"/>
    <w:rsid w:val="004B3290"/>
    <w:rsid w:val="004B55D6"/>
    <w:rsid w:val="004B5C7A"/>
    <w:rsid w:val="004C0959"/>
    <w:rsid w:val="004C2225"/>
    <w:rsid w:val="004D2A1C"/>
    <w:rsid w:val="004D2C84"/>
    <w:rsid w:val="004E3DC1"/>
    <w:rsid w:val="0050264A"/>
    <w:rsid w:val="005033A1"/>
    <w:rsid w:val="00510A04"/>
    <w:rsid w:val="00525E37"/>
    <w:rsid w:val="00526A52"/>
    <w:rsid w:val="00531C1E"/>
    <w:rsid w:val="00550B87"/>
    <w:rsid w:val="005519F5"/>
    <w:rsid w:val="005559D7"/>
    <w:rsid w:val="005634B5"/>
    <w:rsid w:val="00563A4C"/>
    <w:rsid w:val="00564F48"/>
    <w:rsid w:val="0056591A"/>
    <w:rsid w:val="00571F52"/>
    <w:rsid w:val="00576281"/>
    <w:rsid w:val="0059675F"/>
    <w:rsid w:val="005A434A"/>
    <w:rsid w:val="005A70B0"/>
    <w:rsid w:val="005B1FCA"/>
    <w:rsid w:val="005B332F"/>
    <w:rsid w:val="005C3688"/>
    <w:rsid w:val="005C415F"/>
    <w:rsid w:val="005D222D"/>
    <w:rsid w:val="005D236A"/>
    <w:rsid w:val="005F21BA"/>
    <w:rsid w:val="005F36C4"/>
    <w:rsid w:val="0060111E"/>
    <w:rsid w:val="00603428"/>
    <w:rsid w:val="00604E17"/>
    <w:rsid w:val="00617DA1"/>
    <w:rsid w:val="0062096C"/>
    <w:rsid w:val="00624DE6"/>
    <w:rsid w:val="00625D11"/>
    <w:rsid w:val="00626647"/>
    <w:rsid w:val="006313F3"/>
    <w:rsid w:val="00634E25"/>
    <w:rsid w:val="006357CA"/>
    <w:rsid w:val="00637502"/>
    <w:rsid w:val="0063787F"/>
    <w:rsid w:val="00637AE8"/>
    <w:rsid w:val="00647EE1"/>
    <w:rsid w:val="006523CF"/>
    <w:rsid w:val="00652FED"/>
    <w:rsid w:val="006534BD"/>
    <w:rsid w:val="006540F8"/>
    <w:rsid w:val="00655EBC"/>
    <w:rsid w:val="006560D8"/>
    <w:rsid w:val="0065618E"/>
    <w:rsid w:val="0066036F"/>
    <w:rsid w:val="00663570"/>
    <w:rsid w:val="0066357B"/>
    <w:rsid w:val="00666AC6"/>
    <w:rsid w:val="00670057"/>
    <w:rsid w:val="0067274E"/>
    <w:rsid w:val="00675E00"/>
    <w:rsid w:val="00681DCD"/>
    <w:rsid w:val="006849CA"/>
    <w:rsid w:val="00694E20"/>
    <w:rsid w:val="00695602"/>
    <w:rsid w:val="006A3BF4"/>
    <w:rsid w:val="006B2002"/>
    <w:rsid w:val="006B4DE0"/>
    <w:rsid w:val="006B6197"/>
    <w:rsid w:val="006C15EA"/>
    <w:rsid w:val="006C1C50"/>
    <w:rsid w:val="006C289A"/>
    <w:rsid w:val="006D7A2E"/>
    <w:rsid w:val="006E18BF"/>
    <w:rsid w:val="006E228F"/>
    <w:rsid w:val="006E7884"/>
    <w:rsid w:val="006F0D1C"/>
    <w:rsid w:val="006F12A7"/>
    <w:rsid w:val="006F582E"/>
    <w:rsid w:val="007018BB"/>
    <w:rsid w:val="00703E54"/>
    <w:rsid w:val="0071141A"/>
    <w:rsid w:val="00714BF2"/>
    <w:rsid w:val="00717AC6"/>
    <w:rsid w:val="00720E0D"/>
    <w:rsid w:val="007221D4"/>
    <w:rsid w:val="00723CAE"/>
    <w:rsid w:val="00727E21"/>
    <w:rsid w:val="00732885"/>
    <w:rsid w:val="007405D3"/>
    <w:rsid w:val="0074102E"/>
    <w:rsid w:val="00741524"/>
    <w:rsid w:val="00752EBA"/>
    <w:rsid w:val="007638C0"/>
    <w:rsid w:val="00767062"/>
    <w:rsid w:val="00770757"/>
    <w:rsid w:val="00770967"/>
    <w:rsid w:val="00774DDA"/>
    <w:rsid w:val="00774F32"/>
    <w:rsid w:val="00777228"/>
    <w:rsid w:val="00786E08"/>
    <w:rsid w:val="007943CA"/>
    <w:rsid w:val="007B6333"/>
    <w:rsid w:val="007C0F87"/>
    <w:rsid w:val="007C6653"/>
    <w:rsid w:val="007D1B6A"/>
    <w:rsid w:val="007D3493"/>
    <w:rsid w:val="007D3F68"/>
    <w:rsid w:val="007D66A7"/>
    <w:rsid w:val="007E5CFF"/>
    <w:rsid w:val="007F1B74"/>
    <w:rsid w:val="007F2D2F"/>
    <w:rsid w:val="007F4B56"/>
    <w:rsid w:val="00800DE2"/>
    <w:rsid w:val="008012AC"/>
    <w:rsid w:val="00806ED0"/>
    <w:rsid w:val="00811D9B"/>
    <w:rsid w:val="00814971"/>
    <w:rsid w:val="00821150"/>
    <w:rsid w:val="00822B21"/>
    <w:rsid w:val="00823D95"/>
    <w:rsid w:val="00824623"/>
    <w:rsid w:val="00824889"/>
    <w:rsid w:val="00836E69"/>
    <w:rsid w:val="00847C7B"/>
    <w:rsid w:val="00852655"/>
    <w:rsid w:val="00855885"/>
    <w:rsid w:val="008569C1"/>
    <w:rsid w:val="008634AF"/>
    <w:rsid w:val="008657F6"/>
    <w:rsid w:val="008845D6"/>
    <w:rsid w:val="0089513B"/>
    <w:rsid w:val="008A0FE3"/>
    <w:rsid w:val="008B4B49"/>
    <w:rsid w:val="008C108F"/>
    <w:rsid w:val="008C3D7C"/>
    <w:rsid w:val="008C5D99"/>
    <w:rsid w:val="008D08C1"/>
    <w:rsid w:val="008D1FDF"/>
    <w:rsid w:val="008D3F81"/>
    <w:rsid w:val="008D4F3F"/>
    <w:rsid w:val="008D5A06"/>
    <w:rsid w:val="008D5EEC"/>
    <w:rsid w:val="008E6369"/>
    <w:rsid w:val="008F173C"/>
    <w:rsid w:val="008F2008"/>
    <w:rsid w:val="008F47BE"/>
    <w:rsid w:val="008F72FB"/>
    <w:rsid w:val="009078BF"/>
    <w:rsid w:val="00910BC7"/>
    <w:rsid w:val="009129C6"/>
    <w:rsid w:val="00942DE5"/>
    <w:rsid w:val="00944983"/>
    <w:rsid w:val="0094521F"/>
    <w:rsid w:val="00947D2B"/>
    <w:rsid w:val="00951915"/>
    <w:rsid w:val="00957D0C"/>
    <w:rsid w:val="00966E5E"/>
    <w:rsid w:val="009709D4"/>
    <w:rsid w:val="00972478"/>
    <w:rsid w:val="00972E65"/>
    <w:rsid w:val="00977A94"/>
    <w:rsid w:val="009804F1"/>
    <w:rsid w:val="00982098"/>
    <w:rsid w:val="009852C2"/>
    <w:rsid w:val="00990EDF"/>
    <w:rsid w:val="00995E72"/>
    <w:rsid w:val="009B0B1C"/>
    <w:rsid w:val="009B516A"/>
    <w:rsid w:val="009B550D"/>
    <w:rsid w:val="009B7829"/>
    <w:rsid w:val="009C5301"/>
    <w:rsid w:val="009C7DDC"/>
    <w:rsid w:val="009D1D79"/>
    <w:rsid w:val="009E3C53"/>
    <w:rsid w:val="009E46DB"/>
    <w:rsid w:val="009E6385"/>
    <w:rsid w:val="009E74E3"/>
    <w:rsid w:val="009F7260"/>
    <w:rsid w:val="00A00A01"/>
    <w:rsid w:val="00A0127B"/>
    <w:rsid w:val="00A0188C"/>
    <w:rsid w:val="00A02005"/>
    <w:rsid w:val="00A058A8"/>
    <w:rsid w:val="00A05BEF"/>
    <w:rsid w:val="00A13617"/>
    <w:rsid w:val="00A156FE"/>
    <w:rsid w:val="00A25851"/>
    <w:rsid w:val="00A34760"/>
    <w:rsid w:val="00A36724"/>
    <w:rsid w:val="00A3740F"/>
    <w:rsid w:val="00A37CCD"/>
    <w:rsid w:val="00A47CAB"/>
    <w:rsid w:val="00A605E8"/>
    <w:rsid w:val="00A653CC"/>
    <w:rsid w:val="00A66C3D"/>
    <w:rsid w:val="00A72956"/>
    <w:rsid w:val="00A73EF9"/>
    <w:rsid w:val="00A74F5B"/>
    <w:rsid w:val="00A762D9"/>
    <w:rsid w:val="00A8618F"/>
    <w:rsid w:val="00A8648B"/>
    <w:rsid w:val="00A90495"/>
    <w:rsid w:val="00A97F44"/>
    <w:rsid w:val="00AB2CC8"/>
    <w:rsid w:val="00AB4686"/>
    <w:rsid w:val="00AC05D0"/>
    <w:rsid w:val="00AC62FF"/>
    <w:rsid w:val="00AC645E"/>
    <w:rsid w:val="00AD13E2"/>
    <w:rsid w:val="00AD210C"/>
    <w:rsid w:val="00AD3220"/>
    <w:rsid w:val="00AD7AE2"/>
    <w:rsid w:val="00AE17F2"/>
    <w:rsid w:val="00AE7319"/>
    <w:rsid w:val="00AF0524"/>
    <w:rsid w:val="00B018E7"/>
    <w:rsid w:val="00B02E3C"/>
    <w:rsid w:val="00B05A03"/>
    <w:rsid w:val="00B11040"/>
    <w:rsid w:val="00B1247C"/>
    <w:rsid w:val="00B13277"/>
    <w:rsid w:val="00B1424A"/>
    <w:rsid w:val="00B14536"/>
    <w:rsid w:val="00B15C78"/>
    <w:rsid w:val="00B1738A"/>
    <w:rsid w:val="00B21FDF"/>
    <w:rsid w:val="00B3075F"/>
    <w:rsid w:val="00B33C93"/>
    <w:rsid w:val="00B37171"/>
    <w:rsid w:val="00B378D3"/>
    <w:rsid w:val="00B51DB3"/>
    <w:rsid w:val="00B52EC1"/>
    <w:rsid w:val="00B56DB7"/>
    <w:rsid w:val="00B612EE"/>
    <w:rsid w:val="00B712DD"/>
    <w:rsid w:val="00B724DA"/>
    <w:rsid w:val="00B75719"/>
    <w:rsid w:val="00B80353"/>
    <w:rsid w:val="00B82096"/>
    <w:rsid w:val="00B839EC"/>
    <w:rsid w:val="00B84045"/>
    <w:rsid w:val="00B872ED"/>
    <w:rsid w:val="00B9234C"/>
    <w:rsid w:val="00B928A1"/>
    <w:rsid w:val="00B95932"/>
    <w:rsid w:val="00B960F4"/>
    <w:rsid w:val="00B9701C"/>
    <w:rsid w:val="00BA138A"/>
    <w:rsid w:val="00BA27FF"/>
    <w:rsid w:val="00BB0067"/>
    <w:rsid w:val="00BE1449"/>
    <w:rsid w:val="00BE1C55"/>
    <w:rsid w:val="00BE31C5"/>
    <w:rsid w:val="00BE32C7"/>
    <w:rsid w:val="00BE37E9"/>
    <w:rsid w:val="00C05695"/>
    <w:rsid w:val="00C06C32"/>
    <w:rsid w:val="00C10215"/>
    <w:rsid w:val="00C21A51"/>
    <w:rsid w:val="00C22ACF"/>
    <w:rsid w:val="00C252B1"/>
    <w:rsid w:val="00C260D2"/>
    <w:rsid w:val="00C26399"/>
    <w:rsid w:val="00C31081"/>
    <w:rsid w:val="00C333DE"/>
    <w:rsid w:val="00C352A2"/>
    <w:rsid w:val="00C46FB7"/>
    <w:rsid w:val="00C5473C"/>
    <w:rsid w:val="00C61604"/>
    <w:rsid w:val="00C63E09"/>
    <w:rsid w:val="00C64CAD"/>
    <w:rsid w:val="00C726AE"/>
    <w:rsid w:val="00C73662"/>
    <w:rsid w:val="00C74757"/>
    <w:rsid w:val="00C77289"/>
    <w:rsid w:val="00C7774E"/>
    <w:rsid w:val="00C82A6F"/>
    <w:rsid w:val="00C82BB3"/>
    <w:rsid w:val="00C8658C"/>
    <w:rsid w:val="00C931F6"/>
    <w:rsid w:val="00CB0397"/>
    <w:rsid w:val="00CB14C5"/>
    <w:rsid w:val="00CB4D3F"/>
    <w:rsid w:val="00CB4F69"/>
    <w:rsid w:val="00CB4F9B"/>
    <w:rsid w:val="00CB704F"/>
    <w:rsid w:val="00CC4564"/>
    <w:rsid w:val="00CD036E"/>
    <w:rsid w:val="00CD0683"/>
    <w:rsid w:val="00CD424C"/>
    <w:rsid w:val="00CE2831"/>
    <w:rsid w:val="00CE32B8"/>
    <w:rsid w:val="00CE469E"/>
    <w:rsid w:val="00CE607B"/>
    <w:rsid w:val="00CF0DB3"/>
    <w:rsid w:val="00CF3D96"/>
    <w:rsid w:val="00CF4972"/>
    <w:rsid w:val="00D022FC"/>
    <w:rsid w:val="00D02324"/>
    <w:rsid w:val="00D04974"/>
    <w:rsid w:val="00D06B1E"/>
    <w:rsid w:val="00D076B6"/>
    <w:rsid w:val="00D10805"/>
    <w:rsid w:val="00D234A0"/>
    <w:rsid w:val="00D24518"/>
    <w:rsid w:val="00D341AB"/>
    <w:rsid w:val="00D342F4"/>
    <w:rsid w:val="00D37D4C"/>
    <w:rsid w:val="00D45592"/>
    <w:rsid w:val="00D52519"/>
    <w:rsid w:val="00D54127"/>
    <w:rsid w:val="00D71931"/>
    <w:rsid w:val="00D71A0B"/>
    <w:rsid w:val="00D727E1"/>
    <w:rsid w:val="00D74B40"/>
    <w:rsid w:val="00D770BA"/>
    <w:rsid w:val="00D92DC9"/>
    <w:rsid w:val="00D94A15"/>
    <w:rsid w:val="00DB31B1"/>
    <w:rsid w:val="00DB6459"/>
    <w:rsid w:val="00DD0E4A"/>
    <w:rsid w:val="00DD2B45"/>
    <w:rsid w:val="00DD7B3D"/>
    <w:rsid w:val="00DE1F5F"/>
    <w:rsid w:val="00DE2978"/>
    <w:rsid w:val="00DE30D0"/>
    <w:rsid w:val="00DF0BDF"/>
    <w:rsid w:val="00DF1818"/>
    <w:rsid w:val="00DF1E64"/>
    <w:rsid w:val="00DF3012"/>
    <w:rsid w:val="00DF3812"/>
    <w:rsid w:val="00DF5084"/>
    <w:rsid w:val="00E01815"/>
    <w:rsid w:val="00E04742"/>
    <w:rsid w:val="00E240D3"/>
    <w:rsid w:val="00E25C6C"/>
    <w:rsid w:val="00E31954"/>
    <w:rsid w:val="00E47FBD"/>
    <w:rsid w:val="00E542F3"/>
    <w:rsid w:val="00E54D5B"/>
    <w:rsid w:val="00E5583E"/>
    <w:rsid w:val="00E607E4"/>
    <w:rsid w:val="00E60C58"/>
    <w:rsid w:val="00E635E4"/>
    <w:rsid w:val="00E63C8E"/>
    <w:rsid w:val="00E649B2"/>
    <w:rsid w:val="00E66254"/>
    <w:rsid w:val="00E67798"/>
    <w:rsid w:val="00E74505"/>
    <w:rsid w:val="00E83C2D"/>
    <w:rsid w:val="00EB7484"/>
    <w:rsid w:val="00EC1D36"/>
    <w:rsid w:val="00EC2E1C"/>
    <w:rsid w:val="00EC41C9"/>
    <w:rsid w:val="00ED73E0"/>
    <w:rsid w:val="00EE574A"/>
    <w:rsid w:val="00EF085F"/>
    <w:rsid w:val="00EF42FB"/>
    <w:rsid w:val="00EF6A8F"/>
    <w:rsid w:val="00F104E7"/>
    <w:rsid w:val="00F13EFC"/>
    <w:rsid w:val="00F177B4"/>
    <w:rsid w:val="00F22CD6"/>
    <w:rsid w:val="00F276E7"/>
    <w:rsid w:val="00F27E01"/>
    <w:rsid w:val="00F57605"/>
    <w:rsid w:val="00F622E4"/>
    <w:rsid w:val="00F6331E"/>
    <w:rsid w:val="00F66CB7"/>
    <w:rsid w:val="00F6756B"/>
    <w:rsid w:val="00F70A45"/>
    <w:rsid w:val="00F8351E"/>
    <w:rsid w:val="00F91DB6"/>
    <w:rsid w:val="00F91FB1"/>
    <w:rsid w:val="00F92A6D"/>
    <w:rsid w:val="00F9436C"/>
    <w:rsid w:val="00F97768"/>
    <w:rsid w:val="00FA0917"/>
    <w:rsid w:val="00FA7EAF"/>
    <w:rsid w:val="00FB02E0"/>
    <w:rsid w:val="00FB415E"/>
    <w:rsid w:val="00FB6AFC"/>
    <w:rsid w:val="00FC2B19"/>
    <w:rsid w:val="00FC781F"/>
    <w:rsid w:val="00FD1449"/>
    <w:rsid w:val="00FD1575"/>
    <w:rsid w:val="00FD1E5D"/>
    <w:rsid w:val="00FD6C18"/>
    <w:rsid w:val="00FE1235"/>
    <w:rsid w:val="00FE7BCF"/>
    <w:rsid w:val="00FF1972"/>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4">
      <o:colormru v:ext="edit" colors="#b2b2b2,#ddd"/>
    </o:shapedefaults>
    <o:shapelayout v:ext="edit">
      <o:idmap v:ext="edit" data="2"/>
    </o:shapelayout>
  </w:shapeDefaults>
  <w:decimalSymbol w:val=","/>
  <w:listSeparator w:val=";"/>
  <w14:docId w14:val="77103C49"/>
  <w15:docId w15:val="{D5CDE7BA-FED8-40E4-80A0-5F5E2F2BA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beitrag-os">
    <w:name w:val="beitrag-os"/>
    <w:rsid w:val="00BB0067"/>
  </w:style>
  <w:style w:type="character" w:customStyle="1" w:styleId="marginal">
    <w:name w:val="marginal"/>
    <w:rsid w:val="00454316"/>
  </w:style>
  <w:style w:type="character" w:customStyle="1" w:styleId="searchword">
    <w:name w:val="searchword"/>
    <w:rsid w:val="00454316"/>
  </w:style>
  <w:style w:type="character" w:customStyle="1" w:styleId="target">
    <w:name w:val="target"/>
    <w:rsid w:val="00B928A1"/>
  </w:style>
  <w:style w:type="character" w:customStyle="1" w:styleId="gesetznormueberschrift">
    <w:name w:val="gesetz_normueberschrift"/>
    <w:rsid w:val="00717AC6"/>
  </w:style>
  <w:style w:type="paragraph" w:styleId="berarbeitung">
    <w:name w:val="Revision"/>
    <w:hidden/>
    <w:uiPriority w:val="99"/>
    <w:semiHidden/>
    <w:rsid w:val="002E5F24"/>
    <w:rPr>
      <w:sz w:val="22"/>
    </w:rPr>
  </w:style>
  <w:style w:type="character" w:customStyle="1" w:styleId="hgkelc">
    <w:name w:val="hgkelc"/>
    <w:basedOn w:val="Absatz-Standardschriftart"/>
    <w:rsid w:val="009804F1"/>
  </w:style>
  <w:style w:type="character" w:customStyle="1" w:styleId="txtaenderung">
    <w:name w:val="txt_aenderung"/>
    <w:basedOn w:val="Absatz-Standardschriftart"/>
    <w:rsid w:val="00C35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2777750">
      <w:bodyDiv w:val="1"/>
      <w:marLeft w:val="0"/>
      <w:marRight w:val="0"/>
      <w:marTop w:val="0"/>
      <w:marBottom w:val="0"/>
      <w:divBdr>
        <w:top w:val="none" w:sz="0" w:space="0" w:color="auto"/>
        <w:left w:val="none" w:sz="0" w:space="0" w:color="auto"/>
        <w:bottom w:val="none" w:sz="0" w:space="0" w:color="auto"/>
        <w:right w:val="none" w:sz="0" w:space="0" w:color="auto"/>
      </w:divBdr>
    </w:div>
    <w:div w:id="186963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2225</Words>
  <Characters>14021</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2</cp:revision>
  <cp:lastPrinted>2022-06-10T11:07:00Z</cp:lastPrinted>
  <dcterms:created xsi:type="dcterms:W3CDTF">2024-07-11T13:44:00Z</dcterms:created>
  <dcterms:modified xsi:type="dcterms:W3CDTF">2024-07-11T13:44:00Z</dcterms:modified>
</cp:coreProperties>
</file>