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CB81F" w14:textId="77777777" w:rsidR="00BE1449" w:rsidRDefault="00A0127B">
      <w:pPr>
        <w:pStyle w:val="berschrift"/>
      </w:pPr>
      <w:r>
        <w:t>Sehr geehrte Mandantin,</w:t>
      </w:r>
      <w:r>
        <w:br/>
        <w:t>sehr geehrter Mandant,</w:t>
      </w:r>
    </w:p>
    <w:p w14:paraId="0160AE6F" w14:textId="77777777" w:rsidR="00484A68" w:rsidRPr="00E86F27" w:rsidRDefault="00484A68" w:rsidP="00484A68">
      <w:r>
        <w:t xml:space="preserve">gemeinnützige, insbesondere </w:t>
      </w:r>
      <w:r w:rsidRPr="00E86F27">
        <w:rPr>
          <w:b/>
          <w:bCs/>
        </w:rPr>
        <w:t>ehrenamtliche Tätigkeit</w:t>
      </w:r>
      <w:r>
        <w:t xml:space="preserve"> bildet einen tragenden Pfeiler unserer Gesellschaft und ist von zentraler Bedeutung für das gesellschaftliche Zusammenleben. Jetzt soll der </w:t>
      </w:r>
      <w:r w:rsidRPr="00E86F27">
        <w:rPr>
          <w:b/>
          <w:bCs/>
        </w:rPr>
        <w:t>strafrechtliche Schutz</w:t>
      </w:r>
      <w:r w:rsidRPr="00E86F27">
        <w:t xml:space="preserve"> gemeinnütziger Tätigkeit</w:t>
      </w:r>
      <w:r>
        <w:t xml:space="preserve">en verbessert werden. Wir stellen Ihnen den Vorstoß des Bundesrats vor. Darüber hinaus geht es um die Beurteilung von </w:t>
      </w:r>
      <w:r w:rsidRPr="00E86F27">
        <w:rPr>
          <w:b/>
          <w:bCs/>
        </w:rPr>
        <w:t>Spenden</w:t>
      </w:r>
      <w:r w:rsidRPr="00E86F27">
        <w:t xml:space="preserve"> einer Kapitalgesellschaft </w:t>
      </w:r>
      <w:r>
        <w:t xml:space="preserve">an einen gemeinnützigen Empfänger, mit dessen Engagement sich die Gesellschafter identifizieren. Der </w:t>
      </w:r>
      <w:r w:rsidRPr="00E86F27">
        <w:rPr>
          <w:b/>
          <w:bCs/>
        </w:rPr>
        <w:t>Steuertipp</w:t>
      </w:r>
      <w:r>
        <w:t xml:space="preserve"> geht der Frage nach, ob bei </w:t>
      </w:r>
      <w:r w:rsidRPr="00E86F27">
        <w:rPr>
          <w:b/>
          <w:bCs/>
        </w:rPr>
        <w:t>Kooperationen</w:t>
      </w:r>
      <w:r>
        <w:t xml:space="preserve"> ein </w:t>
      </w:r>
      <w:r w:rsidRPr="00E86F27">
        <w:rPr>
          <w:b/>
          <w:bCs/>
        </w:rPr>
        <w:t>„doppeltes Satzungserfordernis“</w:t>
      </w:r>
      <w:r>
        <w:t xml:space="preserve"> gerechtfertigt ist.</w:t>
      </w:r>
    </w:p>
    <w:p w14:paraId="7510770B" w14:textId="77777777" w:rsidR="00484A68" w:rsidRDefault="00484A68" w:rsidP="00484A68">
      <w:pPr>
        <w:framePr w:w="4332" w:wrap="around" w:vAnchor="page" w:hAnchor="page" w:x="6414" w:y="11681" w:anchorLock="1"/>
        <w:pBdr>
          <w:top w:val="single" w:sz="4" w:space="4" w:color="auto"/>
          <w:left w:val="single" w:sz="4" w:space="4" w:color="auto"/>
          <w:bottom w:val="single" w:sz="4" w:space="4" w:color="auto"/>
          <w:right w:val="single" w:sz="4" w:space="4" w:color="auto"/>
        </w:pBdr>
        <w:shd w:val="solid" w:color="DDDDDD" w:fill="FFFFFF"/>
        <w:spacing w:before="80" w:after="80"/>
        <w:ind w:left="28"/>
        <w:suppressOverlap/>
        <w:rPr>
          <w:rFonts w:ascii="Arial" w:hAnsi="Arial" w:cs="Arial"/>
          <w:b/>
          <w:bCs/>
          <w:sz w:val="20"/>
        </w:rPr>
      </w:pPr>
      <w:r>
        <w:rPr>
          <w:rFonts w:ascii="Arial" w:hAnsi="Arial" w:cs="Arial"/>
          <w:b/>
          <w:bCs/>
          <w:sz w:val="20"/>
        </w:rPr>
        <w:t>In dieser Ausgabe</w:t>
      </w:r>
    </w:p>
    <w:p w14:paraId="13B3CCF9" w14:textId="77777777" w:rsidR="00484A68" w:rsidRPr="00154D2A" w:rsidRDefault="00484A68" w:rsidP="00484A68">
      <w:pPr>
        <w:pStyle w:val="Verzeichnis1"/>
        <w:framePr w:w="4332" w:wrap="around" w:vAnchor="page" w:hAnchor="page" w:x="6414" w:y="11681" w:anchorLock="1"/>
        <w:pBdr>
          <w:top w:val="single" w:sz="4" w:space="4" w:color="auto"/>
          <w:left w:val="single" w:sz="4" w:space="4" w:color="auto"/>
          <w:bottom w:val="single" w:sz="4" w:space="4" w:color="auto"/>
          <w:right w:val="single" w:sz="4" w:space="4" w:color="auto"/>
        </w:pBdr>
        <w:shd w:val="solid" w:color="DDDDDD" w:fill="FFFFFF"/>
        <w:ind w:hanging="329"/>
        <w:suppressOverlap/>
      </w:pPr>
      <w:bookmarkStart w:id="0" w:name="_Hlk155715874"/>
      <w:r w:rsidRPr="00154D2A">
        <w:rPr>
          <w:b/>
          <w:bCs/>
        </w:rPr>
        <w:t>Gesetzgebung:</w:t>
      </w:r>
      <w:r w:rsidRPr="00735FAD">
        <w:t xml:space="preserve"> Bundesrat </w:t>
      </w:r>
      <w:r>
        <w:t xml:space="preserve">fordert </w:t>
      </w:r>
      <w:r>
        <w:br/>
      </w:r>
      <w:r w:rsidRPr="00735FAD">
        <w:t>strafrechtlichen Schutz des Ehrenamts</w:t>
      </w:r>
      <w:bookmarkEnd w:id="0"/>
      <w:r>
        <w:tab/>
        <w:t>1</w:t>
      </w:r>
    </w:p>
    <w:p w14:paraId="73CB21BA" w14:textId="77777777" w:rsidR="00484A68" w:rsidRDefault="00484A68" w:rsidP="00484A68">
      <w:pPr>
        <w:pStyle w:val="Verzeichnis1"/>
        <w:framePr w:w="4332" w:wrap="around" w:vAnchor="page" w:hAnchor="page" w:x="6414" w:y="1168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Künstlersozialkasse:</w:t>
      </w:r>
      <w:r>
        <w:t xml:space="preserve"> </w:t>
      </w:r>
      <w:r>
        <w:br/>
        <w:t>Denken Sie an die Jahresmeldung!</w:t>
      </w:r>
      <w:r>
        <w:tab/>
        <w:t>2</w:t>
      </w:r>
    </w:p>
    <w:p w14:paraId="52D9E264" w14:textId="77777777" w:rsidR="00484A68" w:rsidRDefault="00484A68" w:rsidP="00484A68">
      <w:pPr>
        <w:pStyle w:val="Verzeichnis1"/>
        <w:framePr w:w="4332" w:wrap="around" w:vAnchor="page" w:hAnchor="page" w:x="6414" w:y="1168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Stiftung:</w:t>
      </w:r>
      <w:r>
        <w:t xml:space="preserve"> Entscheidend ist die Motivation </w:t>
      </w:r>
      <w:r>
        <w:br/>
        <w:t>des Spenders</w:t>
      </w:r>
      <w:r>
        <w:tab/>
        <w:t>2</w:t>
      </w:r>
    </w:p>
    <w:p w14:paraId="0BCF000E" w14:textId="77777777" w:rsidR="00484A68" w:rsidRDefault="00484A68" w:rsidP="00484A68">
      <w:pPr>
        <w:pStyle w:val="Verzeichnis1"/>
        <w:framePr w:w="4332" w:wrap="around" w:vAnchor="page" w:hAnchor="page" w:x="6414" w:y="1168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Amateure:</w:t>
      </w:r>
      <w:r>
        <w:t xml:space="preserve"> Vertragsspieler im Fußballsport </w:t>
      </w:r>
      <w:r>
        <w:br/>
        <w:t>haben keinen Anspruch auf Arbeitslosengeld!</w:t>
      </w:r>
      <w:r>
        <w:tab/>
        <w:t>2</w:t>
      </w:r>
    </w:p>
    <w:p w14:paraId="1F41D7E1" w14:textId="77777777" w:rsidR="00484A68" w:rsidRDefault="00484A68" w:rsidP="00484A68">
      <w:pPr>
        <w:pStyle w:val="Verzeichnis1"/>
        <w:framePr w:w="4332" w:wrap="around" w:vAnchor="page" w:hAnchor="page" w:x="6414" w:y="1168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Zuwendungsrecht:</w:t>
      </w:r>
      <w:r>
        <w:t xml:space="preserve"> Handelnde Personen </w:t>
      </w:r>
      <w:r>
        <w:br/>
        <w:t>sollten Sie sorgfältig auswählen</w:t>
      </w:r>
      <w:r>
        <w:tab/>
        <w:t>3</w:t>
      </w:r>
    </w:p>
    <w:p w14:paraId="3C038E75" w14:textId="77777777" w:rsidR="00484A68" w:rsidRDefault="00484A68" w:rsidP="00484A68">
      <w:pPr>
        <w:pStyle w:val="Verzeichnis1"/>
        <w:framePr w:w="4332" w:wrap="around" w:vAnchor="page" w:hAnchor="page" w:x="6414" w:y="1168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Betriebsübergang:</w:t>
      </w:r>
      <w:r>
        <w:t xml:space="preserve"> Arbeitsverhältnis geht auf </w:t>
      </w:r>
      <w:r>
        <w:br/>
        <w:t>den Erwerber über, nicht aber die Organstellung</w:t>
      </w:r>
      <w:r>
        <w:tab/>
        <w:t>3</w:t>
      </w:r>
    </w:p>
    <w:p w14:paraId="6F7CEF6D" w14:textId="01B3563E" w:rsidR="00484A68" w:rsidRDefault="00484A68" w:rsidP="00484A68">
      <w:pPr>
        <w:pStyle w:val="Verzeichnis1"/>
        <w:framePr w:w="4332" w:wrap="around" w:vAnchor="page" w:hAnchor="page" w:x="6414" w:y="1168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Registerrecht:</w:t>
      </w:r>
      <w:r>
        <w:t xml:space="preserve"> Eintragungen im Vereinsregister </w:t>
      </w:r>
      <w:r w:rsidR="009101AF">
        <w:br/>
        <w:t xml:space="preserve">sind </w:t>
      </w:r>
      <w:r>
        <w:t>datenschutzkonform</w:t>
      </w:r>
      <w:r>
        <w:tab/>
        <w:t>3</w:t>
      </w:r>
    </w:p>
    <w:p w14:paraId="26FA0908" w14:textId="77777777" w:rsidR="00484A68" w:rsidRDefault="00484A68" w:rsidP="00484A68">
      <w:pPr>
        <w:pStyle w:val="Verzeichnis1"/>
        <w:framePr w:w="4332" w:wrap="around" w:vAnchor="page" w:hAnchor="page" w:x="6414" w:y="1168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Steuertipp:</w:t>
      </w:r>
      <w:r>
        <w:t xml:space="preserve"> Ist bei Kooperationen ein doppeltes </w:t>
      </w:r>
      <w:r>
        <w:br/>
        <w:t>Satzungserfordernis gerechtfertigt?</w:t>
      </w:r>
      <w:r>
        <w:tab/>
        <w:t>4</w:t>
      </w:r>
    </w:p>
    <w:p w14:paraId="6139490D" w14:textId="77777777" w:rsidR="00484A68" w:rsidRDefault="00484A68" w:rsidP="00484A68">
      <w:pPr>
        <w:pStyle w:val="berschrift2"/>
      </w:pPr>
      <w:r>
        <w:t>Gesetzgebung</w:t>
      </w:r>
      <w:r>
        <w:tab/>
      </w:r>
    </w:p>
    <w:p w14:paraId="6DB46D0F" w14:textId="77777777" w:rsidR="00484A68" w:rsidRPr="00735FAD" w:rsidRDefault="00484A68" w:rsidP="00484A68">
      <w:pPr>
        <w:pStyle w:val="berschrift1"/>
      </w:pPr>
      <w:r w:rsidRPr="00735FAD">
        <w:t xml:space="preserve">Bundesrat </w:t>
      </w:r>
      <w:r>
        <w:t xml:space="preserve">fordert </w:t>
      </w:r>
      <w:r w:rsidRPr="00735FAD">
        <w:t>strafrechtlichen Schutz des Ehrenamts</w:t>
      </w:r>
    </w:p>
    <w:p w14:paraId="3DC8C386" w14:textId="2A3746F6" w:rsidR="00484A68" w:rsidRDefault="00484A68" w:rsidP="00484A68">
      <w:r w:rsidRPr="00735FAD">
        <w:t xml:space="preserve">Der Bundesrat will Personen, die sich gemeinnützig engagieren, besser </w:t>
      </w:r>
      <w:r w:rsidRPr="00735FAD">
        <w:rPr>
          <w:b/>
          <w:bCs/>
        </w:rPr>
        <w:t>vor Angriffen schützen</w:t>
      </w:r>
      <w:r w:rsidRPr="00735FAD">
        <w:t xml:space="preserve"> und hat dazu einen Gesetzentwurf vorgelegt. </w:t>
      </w:r>
      <w:r w:rsidR="00C71B3E">
        <w:t xml:space="preserve">Darin heißt es, </w:t>
      </w:r>
      <w:r w:rsidRPr="00735FAD">
        <w:t>Menschen, die sich gemeinnützig engagier</w:t>
      </w:r>
      <w:r>
        <w:t>t</w:t>
      </w:r>
      <w:r w:rsidRPr="00735FAD">
        <w:t xml:space="preserve">en, </w:t>
      </w:r>
      <w:r>
        <w:t xml:space="preserve">würden </w:t>
      </w:r>
      <w:r w:rsidRPr="00735FAD">
        <w:t xml:space="preserve">trotz ihrer herausragenden Rolle im gesellschaftlichen Leben immer wieder zum Ziel physischer </w:t>
      </w:r>
      <w:r>
        <w:t>und</w:t>
      </w:r>
      <w:r w:rsidRPr="00735FAD">
        <w:t xml:space="preserve"> psychischer A</w:t>
      </w:r>
      <w:r w:rsidR="00C71B3E">
        <w:t>ngriffe</w:t>
      </w:r>
      <w:r w:rsidRPr="00735FAD">
        <w:t>.</w:t>
      </w:r>
    </w:p>
    <w:p w14:paraId="5A01B4E2" w14:textId="0AE17887" w:rsidR="00484A68" w:rsidRPr="00735FAD" w:rsidRDefault="00484A68" w:rsidP="00484A68">
      <w:r>
        <w:t>B</w:t>
      </w:r>
      <w:r w:rsidRPr="00735FAD">
        <w:t>etr</w:t>
      </w:r>
      <w:r>
        <w:t>o</w:t>
      </w:r>
      <w:r w:rsidRPr="00735FAD">
        <w:t>ff</w:t>
      </w:r>
      <w:r>
        <w:t xml:space="preserve">en seien </w:t>
      </w:r>
      <w:r w:rsidRPr="00735FAD">
        <w:t xml:space="preserve">insbesondere kommunale Mandatsträger, Flüchtlingshelfer und </w:t>
      </w:r>
      <w:r w:rsidRPr="006B5268">
        <w:rPr>
          <w:b/>
          <w:bCs/>
        </w:rPr>
        <w:t>Schiedsrichter</w:t>
      </w:r>
      <w:r w:rsidRPr="00735FAD">
        <w:t>, aber auch sicherheitsrelevante Ehrenamt</w:t>
      </w:r>
      <w:r w:rsidR="00C71B3E">
        <w:t>ler</w:t>
      </w:r>
      <w:r w:rsidRPr="00735FAD">
        <w:t xml:space="preserve"> bei Feuerwehren, Katastrophenschutz und Rettungsdiensten. </w:t>
      </w:r>
      <w:r>
        <w:t>W</w:t>
      </w:r>
      <w:r w:rsidRPr="00735FAD">
        <w:t xml:space="preserve">ichtige gesellschaftliche Aufgaben </w:t>
      </w:r>
      <w:r>
        <w:t xml:space="preserve">könnten </w:t>
      </w:r>
      <w:r w:rsidRPr="00735FAD">
        <w:t>nur aufgrund der hohen sozialen Ver</w:t>
      </w:r>
      <w:r w:rsidRPr="00735FAD">
        <w:t>antwortung und des unermüdlichen Einsatzes von Ehrenamtlichen bewältigt werden</w:t>
      </w:r>
      <w:r>
        <w:t xml:space="preserve">. Daher </w:t>
      </w:r>
      <w:r w:rsidRPr="00735FAD">
        <w:t xml:space="preserve">gefährde eine solche Entwicklung auch die Belange des Gemeinwohls, heißt es in der </w:t>
      </w:r>
      <w:r>
        <w:t>Ländervo</w:t>
      </w:r>
      <w:r w:rsidRPr="00735FAD">
        <w:t>rlage.</w:t>
      </w:r>
    </w:p>
    <w:p w14:paraId="0E852DB4" w14:textId="074C7E4E" w:rsidR="00484A68" w:rsidRDefault="00484A68" w:rsidP="00484A68">
      <w:r w:rsidRPr="00735FAD">
        <w:t xml:space="preserve">Der Gesetzentwurf sehe daher vor, die Regelung zur </w:t>
      </w:r>
      <w:r w:rsidRPr="00735FAD">
        <w:rPr>
          <w:b/>
          <w:bCs/>
        </w:rPr>
        <w:t>Strafzumessung</w:t>
      </w:r>
      <w:r w:rsidRPr="00735FAD">
        <w:t xml:space="preserve"> </w:t>
      </w:r>
      <w:r>
        <w:t xml:space="preserve">im </w:t>
      </w:r>
      <w:r w:rsidRPr="00735FAD">
        <w:t>Strafgesetzbuch zu ergänzen</w:t>
      </w:r>
      <w:r>
        <w:t>. H</w:t>
      </w:r>
      <w:r w:rsidRPr="00735FAD">
        <w:t xml:space="preserve">insichtlich der verschuldeten Auswirkungen der Tat </w:t>
      </w:r>
      <w:r>
        <w:t>soll</w:t>
      </w:r>
      <w:r w:rsidR="00971868">
        <w:t>t</w:t>
      </w:r>
      <w:r>
        <w:t xml:space="preserve">en </w:t>
      </w:r>
      <w:r w:rsidRPr="00735FAD">
        <w:t>auch solche in Betracht zu ziehen s</w:t>
      </w:r>
      <w:r>
        <w:t>e</w:t>
      </w:r>
      <w:r w:rsidRPr="00735FAD">
        <w:t>in, die geeignet s</w:t>
      </w:r>
      <w:r>
        <w:t>e</w:t>
      </w:r>
      <w:r w:rsidRPr="00735FAD">
        <w:t>i</w:t>
      </w:r>
      <w:r>
        <w:t>e</w:t>
      </w:r>
      <w:r w:rsidRPr="00735FAD">
        <w:t>n, gemeinnütziges Engagement der oder des Geschädigten nicht nur unerheblich zu beeinträchtigen. Dadurch solle die für das Gemeinwesen grundlegende Bedeutung ehrenamtlicher Tätigkeit und die besondere Schutzwürdigkeit dieser Personen auch strafrechtlich dokumentiert und bekräftigt werden.</w:t>
      </w:r>
    </w:p>
    <w:p w14:paraId="2636FF93" w14:textId="77777777" w:rsidR="00484A68" w:rsidRPr="00735FAD" w:rsidRDefault="00484A68" w:rsidP="00484A68">
      <w:pPr>
        <w:shd w:val="clear" w:color="auto" w:fill="E6E6E6"/>
        <w:ind w:left="284"/>
      </w:pPr>
      <w:r w:rsidRPr="00764DFB">
        <w:rPr>
          <w:b/>
          <w:bCs/>
        </w:rPr>
        <w:t>Hinweis:</w:t>
      </w:r>
      <w:r>
        <w:t xml:space="preserve"> Wir halten Sie über die Entwicklung dieses Gesetzentwurfs auf dem Laufenden.</w:t>
      </w:r>
    </w:p>
    <w:p w14:paraId="26F7722F" w14:textId="77777777" w:rsidR="00484A68" w:rsidRDefault="00484A68" w:rsidP="00484A68">
      <w:pPr>
        <w:pStyle w:val="berschrift2"/>
      </w:pPr>
      <w:r w:rsidRPr="00223076">
        <w:lastRenderedPageBreak/>
        <w:t>Künstlersozial</w:t>
      </w:r>
      <w:r>
        <w:t>kasse</w:t>
      </w:r>
      <w:r>
        <w:tab/>
      </w:r>
    </w:p>
    <w:p w14:paraId="7DE44F5C" w14:textId="77777777" w:rsidR="00484A68" w:rsidRDefault="00484A68" w:rsidP="00484A68">
      <w:pPr>
        <w:pStyle w:val="berschrift1"/>
      </w:pPr>
      <w:r>
        <w:t>Denken Sie an die Jahresmeldung!</w:t>
      </w:r>
    </w:p>
    <w:p w14:paraId="3AC577E8" w14:textId="77777777" w:rsidR="00484A68" w:rsidRDefault="00484A68" w:rsidP="00484A68">
      <w:r>
        <w:t xml:space="preserve">Haben Sie im letzten Jahr selbständige Künstler oder Publizisten beauftragt und ihnen Entgelte gezahlt? Dann müssen Sie jetzt daran denken, diese Entgelte </w:t>
      </w:r>
      <w:r w:rsidRPr="00A87417">
        <w:rPr>
          <w:b/>
        </w:rPr>
        <w:t>bis zum</w:t>
      </w:r>
      <w:r>
        <w:t xml:space="preserve"> </w:t>
      </w:r>
      <w:r w:rsidRPr="00A87417">
        <w:rPr>
          <w:b/>
        </w:rPr>
        <w:t>31.</w:t>
      </w:r>
      <w:r>
        <w:rPr>
          <w:b/>
        </w:rPr>
        <w:t>0</w:t>
      </w:r>
      <w:r w:rsidRPr="00A87417">
        <w:rPr>
          <w:b/>
        </w:rPr>
        <w:t>3.20</w:t>
      </w:r>
      <w:r>
        <w:rPr>
          <w:b/>
        </w:rPr>
        <w:t>24</w:t>
      </w:r>
      <w:r>
        <w:t xml:space="preserve"> an die Künstlersozialkasse zu melden. Nach dieser Jahresmeldung wird die für 2023 fällige Künstlersozialabgabe berechnet.</w:t>
      </w:r>
      <w:r w:rsidRPr="00675C47">
        <w:t xml:space="preserve"> Für das Jahr 202</w:t>
      </w:r>
      <w:r>
        <w:t>3</w:t>
      </w:r>
      <w:r w:rsidRPr="00675C47">
        <w:t xml:space="preserve"> betr</w:t>
      </w:r>
      <w:r>
        <w:t>u</w:t>
      </w:r>
      <w:r w:rsidRPr="00675C47">
        <w:t xml:space="preserve">g der Beitrag auf das gezahlte Honorar </w:t>
      </w:r>
      <w:r>
        <w:t>5 %</w:t>
      </w:r>
      <w:r w:rsidRPr="00675C47">
        <w:t>, wobei die Umsatzsteuer</w:t>
      </w:r>
      <w:r w:rsidRPr="00A87417">
        <w:t xml:space="preserve"> und die Reisekosten des Künstlers außer Betracht bleiben. Auch Vervielfältigungsko</w:t>
      </w:r>
      <w:r>
        <w:t>sten (z.B. Druckkosten für eine Broschüre) bleiben unberücksichtigt.</w:t>
      </w:r>
    </w:p>
    <w:p w14:paraId="4495BFF2" w14:textId="77777777" w:rsidR="00484A68" w:rsidRDefault="00484A68" w:rsidP="00484A68">
      <w:r>
        <w:t>Beachten Sie, dass die Abgabe fällig</w:t>
      </w:r>
      <w:r w:rsidRPr="0003085E">
        <w:t xml:space="preserve"> </w:t>
      </w:r>
      <w:r>
        <w:t xml:space="preserve">wird, wenn Sie </w:t>
      </w:r>
      <w:r w:rsidRPr="00BE70C8">
        <w:t>Einzelunternehmer</w:t>
      </w:r>
      <w:r>
        <w:t>, eine GbR, eine OHG oder eine Partnerschaftsgesellschaft beauftragt haben.</w:t>
      </w:r>
      <w:r w:rsidRPr="000620B3">
        <w:t xml:space="preserve"> </w:t>
      </w:r>
      <w:r>
        <w:t>Nur bei einem Auftrag an eine GmbH fällt die Abgabe nicht an.</w:t>
      </w:r>
    </w:p>
    <w:p w14:paraId="3FF17763" w14:textId="77777777" w:rsidR="00484A68" w:rsidRDefault="00484A68" w:rsidP="00484A68">
      <w:pPr>
        <w:shd w:val="clear" w:color="auto" w:fill="E6E6E6"/>
        <w:ind w:left="284"/>
      </w:pPr>
      <w:r w:rsidRPr="00A87417">
        <w:rPr>
          <w:b/>
        </w:rPr>
        <w:t>Hinweis</w:t>
      </w:r>
      <w:r w:rsidRPr="00675C47">
        <w:rPr>
          <w:b/>
        </w:rPr>
        <w:t>:</w:t>
      </w:r>
      <w:r>
        <w:t xml:space="preserve"> Wenn Sie die Meldung nicht fristgerecht abgeben, ist das eine Ordnungswidrigkeit und die Künstlersozialkasse kann eine Schätzung vornehmen.</w:t>
      </w:r>
    </w:p>
    <w:p w14:paraId="2D7DEDF4" w14:textId="77777777" w:rsidR="00484A68" w:rsidRDefault="00484A68" w:rsidP="00484A68">
      <w:pPr>
        <w:pStyle w:val="berschrift2"/>
      </w:pPr>
      <w:r>
        <w:t>Stiftung</w:t>
      </w:r>
      <w:r>
        <w:tab/>
      </w:r>
    </w:p>
    <w:p w14:paraId="531E6D13" w14:textId="77777777" w:rsidR="00484A68" w:rsidRDefault="00484A68" w:rsidP="00484A68">
      <w:pPr>
        <w:pStyle w:val="berschrift1"/>
      </w:pPr>
      <w:r>
        <w:t>Entscheidend ist die Motivation des Spenders</w:t>
      </w:r>
    </w:p>
    <w:p w14:paraId="514B5E06" w14:textId="400EE288" w:rsidR="00484A68" w:rsidRPr="00063CF0" w:rsidRDefault="00484A68" w:rsidP="00484A68">
      <w:r>
        <w:t xml:space="preserve">Das Finanzgericht Düsseldorf (FG) hat sich mit </w:t>
      </w:r>
      <w:r w:rsidRPr="00063CF0">
        <w:t>Spende</w:t>
      </w:r>
      <w:r>
        <w:t>n</w:t>
      </w:r>
      <w:r w:rsidRPr="00063CF0">
        <w:t xml:space="preserve"> an </w:t>
      </w:r>
      <w:r>
        <w:t xml:space="preserve">eine </w:t>
      </w:r>
      <w:r w:rsidRPr="00D90477">
        <w:rPr>
          <w:b/>
          <w:bCs/>
        </w:rPr>
        <w:t>gemeinnützige Firmenstiftung</w:t>
      </w:r>
      <w:r>
        <w:t xml:space="preserve"> auseinandergesetzt.</w:t>
      </w:r>
    </w:p>
    <w:p w14:paraId="5362EA24" w14:textId="1AF45544" w:rsidR="00484A68" w:rsidRPr="00063CF0" w:rsidRDefault="00484A68" w:rsidP="00484A68">
      <w:r w:rsidRPr="0086261F">
        <w:t xml:space="preserve">Die Klägerin </w:t>
      </w:r>
      <w:r w:rsidRPr="00063CF0">
        <w:t>ist</w:t>
      </w:r>
      <w:r w:rsidRPr="0086261F">
        <w:t xml:space="preserve"> eine </w:t>
      </w:r>
      <w:r w:rsidRPr="00063CF0">
        <w:t>GmbH</w:t>
      </w:r>
      <w:r w:rsidRPr="0086261F">
        <w:t xml:space="preserve">, </w:t>
      </w:r>
      <w:r w:rsidRPr="00063CF0">
        <w:t xml:space="preserve">die </w:t>
      </w:r>
      <w:r w:rsidRPr="0086261F">
        <w:t>der Stiftung ihrer Gründerfamilie Spenden zugewendet</w:t>
      </w:r>
      <w:r w:rsidRPr="00063CF0">
        <w:t xml:space="preserve"> hatte</w:t>
      </w:r>
      <w:r w:rsidRPr="0086261F">
        <w:t xml:space="preserve">. </w:t>
      </w:r>
      <w:r w:rsidRPr="00063CF0">
        <w:t xml:space="preserve">Die </w:t>
      </w:r>
      <w:r w:rsidRPr="0086261F">
        <w:t xml:space="preserve">begünstigte Stiftung </w:t>
      </w:r>
      <w:r w:rsidRPr="00063CF0">
        <w:t>ist e</w:t>
      </w:r>
      <w:r w:rsidRPr="0086261F">
        <w:t>ine gemeinnützige GmbH</w:t>
      </w:r>
      <w:r w:rsidRPr="00063CF0">
        <w:t xml:space="preserve"> (gGmbH), die zusammen mit zwei weiteren Gesellschaftern mittelbar - über eine gemeinsame Holding-GmbH - die Beteiligungsmehrheit an der Klägerin hielt. Um ihre Spendenpraxis zu koordinieren und effizienter zu gestalten, hatte sich die GmbH entschieden, die Spendentätigkeit in einer zentralen gemeinnützigen Einrichtung zu bündeln. Seit 1999 nimmt die Stiftung diese Aufgabe </w:t>
      </w:r>
      <w:r w:rsidR="00B9118C">
        <w:t xml:space="preserve">wahr </w:t>
      </w:r>
      <w:r w:rsidRPr="00063CF0">
        <w:t xml:space="preserve">und erhält jährlich eine Spende von der Klägerin. Nach einer Außenprüfung qualifizierte das Finanzamt die Spende als </w:t>
      </w:r>
      <w:r w:rsidRPr="004E0167">
        <w:rPr>
          <w:b/>
          <w:bCs/>
        </w:rPr>
        <w:t>verdeckte Gewinnausschüttung</w:t>
      </w:r>
      <w:r w:rsidRPr="00063CF0">
        <w:t xml:space="preserve"> (</w:t>
      </w:r>
      <w:proofErr w:type="spellStart"/>
      <w:r w:rsidRPr="00063CF0">
        <w:t>vGA</w:t>
      </w:r>
      <w:proofErr w:type="spellEnd"/>
      <w:r w:rsidRPr="00063CF0">
        <w:t xml:space="preserve">), weil </w:t>
      </w:r>
      <w:r>
        <w:t>s</w:t>
      </w:r>
      <w:r w:rsidRPr="00063CF0">
        <w:t>ie durch das Gesellschaftsverhältnis veranlasst sei.</w:t>
      </w:r>
    </w:p>
    <w:p w14:paraId="14BD3861" w14:textId="77777777" w:rsidR="00484A68" w:rsidRDefault="00484A68" w:rsidP="00484A68">
      <w:pPr>
        <w:shd w:val="clear" w:color="auto" w:fill="E6E6E6"/>
        <w:spacing w:after="140"/>
        <w:ind w:left="284"/>
      </w:pPr>
      <w:r w:rsidRPr="00063CF0">
        <w:rPr>
          <w:b/>
          <w:bCs/>
        </w:rPr>
        <w:t>Hinweis:</w:t>
      </w:r>
      <w:r>
        <w:t xml:space="preserve"> Als </w:t>
      </w:r>
      <w:proofErr w:type="spellStart"/>
      <w:r>
        <w:t>vGA</w:t>
      </w:r>
      <w:proofErr w:type="spellEnd"/>
      <w:r>
        <w:t xml:space="preserve"> gelten bei einer Kapitalgesellschaft eingetretene und durch das Gesellschaftsverhältnis (mit-)veranlasste Vermögensminderungen oder verhinderte Vermögensmehrungen. Eine Veranlassung durch das Gesellschaftsverhältnis ist anzunehmen, wenn die Kapitalgesellschaft ihrem Gesellschafter </w:t>
      </w:r>
      <w:r>
        <w:t>einen Vorteil zuwendet, den sie ansonsten unter vergleichbaren Umständen einem Gesellschaftsfremden nicht zugewendet hätte.</w:t>
      </w:r>
    </w:p>
    <w:p w14:paraId="3A2897C9" w14:textId="22D60482" w:rsidR="00484A68" w:rsidRDefault="00484A68" w:rsidP="00484A68">
      <w:pPr>
        <w:spacing w:after="140"/>
      </w:pPr>
      <w:r>
        <w:t xml:space="preserve">Das FG hat zwar bestätigt, dass </w:t>
      </w:r>
      <w:r w:rsidRPr="004E0167">
        <w:t>ein besondere</w:t>
      </w:r>
      <w:r>
        <w:t>s</w:t>
      </w:r>
      <w:r w:rsidRPr="004E0167">
        <w:t xml:space="preserve"> Näheverhältnis zwischen den Gesellschaftern </w:t>
      </w:r>
      <w:r>
        <w:t>des</w:t>
      </w:r>
      <w:r w:rsidRPr="004E0167">
        <w:t xml:space="preserve"> Familienunternehmens und der hieran gleichfalls beteiligten gemeinnützigen Stiftung der Gründerfamilie </w:t>
      </w:r>
      <w:r>
        <w:t>besteht. Die</w:t>
      </w:r>
      <w:r w:rsidR="008442EF">
        <w:t>s</w:t>
      </w:r>
      <w:r>
        <w:t xml:space="preserve"> </w:t>
      </w:r>
      <w:r w:rsidRPr="004E0167">
        <w:t>rechtfertig</w:t>
      </w:r>
      <w:r>
        <w:t>e</w:t>
      </w:r>
      <w:r w:rsidRPr="004E0167">
        <w:t xml:space="preserve"> </w:t>
      </w:r>
      <w:r>
        <w:t xml:space="preserve">aber </w:t>
      </w:r>
      <w:r w:rsidRPr="004E0167">
        <w:t xml:space="preserve">nicht die Annahme </w:t>
      </w:r>
      <w:r w:rsidR="008442EF">
        <w:t>ein</w:t>
      </w:r>
      <w:r w:rsidRPr="004E0167">
        <w:t xml:space="preserve">er </w:t>
      </w:r>
      <w:r w:rsidRPr="00D90477">
        <w:rPr>
          <w:b/>
          <w:bCs/>
        </w:rPr>
        <w:t>gesellschaftsrechtlichen Veranlassung</w:t>
      </w:r>
      <w:r w:rsidRPr="004E0167">
        <w:t xml:space="preserve"> </w:t>
      </w:r>
      <w:r w:rsidR="008442EF">
        <w:t>d</w:t>
      </w:r>
      <w:r w:rsidRPr="004E0167">
        <w:t xml:space="preserve">er Spende an die Stiftung mit der Rechtsfolge der Hinzurechnung als </w:t>
      </w:r>
      <w:proofErr w:type="spellStart"/>
      <w:r w:rsidRPr="004E0167">
        <w:t>vGA</w:t>
      </w:r>
      <w:proofErr w:type="spellEnd"/>
      <w:r w:rsidRPr="004E0167">
        <w:t xml:space="preserve">. </w:t>
      </w:r>
      <w:r>
        <w:t>M</w:t>
      </w:r>
      <w:r w:rsidRPr="004E0167">
        <w:t xml:space="preserve">it der </w:t>
      </w:r>
      <w:r>
        <w:t>Jahress</w:t>
      </w:r>
      <w:r w:rsidRPr="004E0167">
        <w:t xml:space="preserve">pende </w:t>
      </w:r>
      <w:r>
        <w:t>sei</w:t>
      </w:r>
      <w:r w:rsidRPr="004E0167">
        <w:t xml:space="preserve"> </w:t>
      </w:r>
      <w:r>
        <w:t xml:space="preserve">der </w:t>
      </w:r>
      <w:r w:rsidRPr="004E0167">
        <w:t>Zweck</w:t>
      </w:r>
      <w:r>
        <w:t xml:space="preserve"> verfolgt worden</w:t>
      </w:r>
      <w:r w:rsidRPr="004E0167">
        <w:t>, die Verteilung von Spenden an externe gemeinnützige Organisationen unter Einbeziehung eines bei der Stiftung angesiedelten fachkundigen Gremiums zu koordinieren und zielgenauer sowie transparenter zu gestalten</w:t>
      </w:r>
      <w:r>
        <w:t>. Dieser Zweck</w:t>
      </w:r>
      <w:r w:rsidRPr="004E0167">
        <w:t xml:space="preserve"> verdräng</w:t>
      </w:r>
      <w:r>
        <w:t>e</w:t>
      </w:r>
      <w:r w:rsidRPr="004E0167">
        <w:t xml:space="preserve"> als nicht gesellschaftsrechtlich begründetes Motiv ein aus dem Verhältnis der Eigenspenden zu den Fremdspenden abzuleitendes Indiz für eine gesellschaftsrechtliche Veranlassung.</w:t>
      </w:r>
    </w:p>
    <w:p w14:paraId="4253DCDA" w14:textId="77777777" w:rsidR="00484A68" w:rsidRPr="004E0167" w:rsidRDefault="00484A68" w:rsidP="00484A68">
      <w:pPr>
        <w:shd w:val="clear" w:color="auto" w:fill="E6E6E6"/>
        <w:spacing w:after="140"/>
        <w:ind w:left="284"/>
      </w:pPr>
      <w:r w:rsidRPr="00D90477">
        <w:rPr>
          <w:b/>
          <w:bCs/>
        </w:rPr>
        <w:t>Hinweis:</w:t>
      </w:r>
      <w:r>
        <w:t xml:space="preserve"> Bei der Prüfung des Verhältnisses von Eigenspenden zu Fremdspenden berücksichtigte das FG auch Veranlagungszeiträume vor und nach dem Streitjahr. Diese periodenübergreifende Betrachtung ergab, dass das Verhältnis von Eigenspenden zu Fremdspenden annähernd ausgeglichen war.</w:t>
      </w:r>
    </w:p>
    <w:p w14:paraId="264C6114" w14:textId="77777777" w:rsidR="00484A68" w:rsidRDefault="00484A68" w:rsidP="00484A68">
      <w:pPr>
        <w:pStyle w:val="berschrift2"/>
      </w:pPr>
      <w:r>
        <w:t>Amateure</w:t>
      </w:r>
      <w:r>
        <w:tab/>
      </w:r>
    </w:p>
    <w:p w14:paraId="5B34F37D" w14:textId="77777777" w:rsidR="00484A68" w:rsidRDefault="00484A68" w:rsidP="00484A68">
      <w:pPr>
        <w:pStyle w:val="berschrift1"/>
      </w:pPr>
      <w:r>
        <w:t>Vertragsspieler im Fußballsport haben keinen Anspruch auf Arbeitslosengeld!</w:t>
      </w:r>
    </w:p>
    <w:p w14:paraId="196DD73B" w14:textId="081253E3" w:rsidR="00484A68" w:rsidRDefault="00484A68" w:rsidP="00484A68">
      <w:pPr>
        <w:spacing w:after="140"/>
      </w:pPr>
      <w:r>
        <w:t>Im Gegensatz zu den Bundesligastars hält sich die Bezahlung von Vertrag</w:t>
      </w:r>
      <w:r w:rsidR="006B5268">
        <w:t>sspielern im A</w:t>
      </w:r>
      <w:r>
        <w:t>mateur</w:t>
      </w:r>
      <w:r w:rsidR="006B5268">
        <w:t>bereich</w:t>
      </w:r>
      <w:r>
        <w:t xml:space="preserve"> im Rahmen. Die Folge kann sein, dass sogar </w:t>
      </w:r>
      <w:r w:rsidRPr="00ED252E">
        <w:rPr>
          <w:b/>
          <w:bCs/>
        </w:rPr>
        <w:t>Sozialleistungen</w:t>
      </w:r>
      <w:r>
        <w:t xml:space="preserve"> erforderlich werden, um über die Runden zu kommen. Dass sich jedoch selbst geringe Zahlungen eines Vereins direkt auf die Gewährung von Sozialleistungen auswirken können, zeigt ein Urteil des Landessozialgerichts Mecklenburg-Vorpommern (LSG).</w:t>
      </w:r>
    </w:p>
    <w:p w14:paraId="25E6BD97" w14:textId="54BCD6D6" w:rsidR="00484A68" w:rsidRDefault="00484A68" w:rsidP="00484A68">
      <w:pPr>
        <w:spacing w:after="140"/>
      </w:pPr>
      <w:r>
        <w:t xml:space="preserve">Der Kläger, Vertragsspieler eines Fußballvereins, hatte </w:t>
      </w:r>
      <w:r w:rsidRPr="00ED252E">
        <w:rPr>
          <w:bCs/>
        </w:rPr>
        <w:t>Arbeitslosengeld</w:t>
      </w:r>
      <w:r>
        <w:t xml:space="preserve"> beantragt. Sein Antrag wurde abgelehnt, da er nach </w:t>
      </w:r>
      <w:r w:rsidR="008A35AF">
        <w:t xml:space="preserve">Ansicht </w:t>
      </w:r>
      <w:r>
        <w:t xml:space="preserve">der Agentur für Arbeit nicht arbeitslos war. Er sei bei dem Verein auf der Grundlage eines Vertrags als Fußballspieler mehr als 15 Stunden </w:t>
      </w:r>
      <w:r w:rsidR="008A35AF">
        <w:t xml:space="preserve">pro Woche </w:t>
      </w:r>
      <w:r>
        <w:t xml:space="preserve">tätig und erhalte hierfür eine </w:t>
      </w:r>
      <w:r w:rsidRPr="00ED252E">
        <w:rPr>
          <w:b/>
          <w:bCs/>
        </w:rPr>
        <w:t>Vergütung von 250 €</w:t>
      </w:r>
      <w:r>
        <w:t>. Dieser Sichtweise ist auch das LSG gefolgt.</w:t>
      </w:r>
    </w:p>
    <w:p w14:paraId="20040474" w14:textId="6BA43698" w:rsidR="00484A68" w:rsidRDefault="00484A68" w:rsidP="00484A68">
      <w:pPr>
        <w:spacing w:after="140"/>
      </w:pPr>
      <w:r>
        <w:t xml:space="preserve">Arbeitslos sei, wer in keinem </w:t>
      </w:r>
      <w:r>
        <w:rPr>
          <w:b/>
        </w:rPr>
        <w:t>Beschäftigungsverhältnis</w:t>
      </w:r>
      <w:r>
        <w:t xml:space="preserve"> stehe, sich bemühe, seine Beschäftigungslosigkeit zu beenden, und den Vermittlungsbemühungen der Agentur für Arbeit zur Verfügung stehe. Das sei beim Kläger nicht der Fall gewesen. Für die Frage, ob ein Beschäfti</w:t>
      </w:r>
      <w:r>
        <w:lastRenderedPageBreak/>
        <w:t xml:space="preserve">gungsverhältnis im Sinne des Arbeitsförderungsrechts vorliege, sei nicht auf das versicherungs- bzw. beitrags-, sondern auf </w:t>
      </w:r>
      <w:r w:rsidRPr="00121709">
        <w:t>das leistungsrechtliche Beschäftigungsverhältnis abzustellen</w:t>
      </w:r>
      <w:r>
        <w:t>.</w:t>
      </w:r>
    </w:p>
    <w:p w14:paraId="552B8B44" w14:textId="5F067F4A" w:rsidR="00484A68" w:rsidRDefault="00484A68" w:rsidP="00484A68">
      <w:pPr>
        <w:spacing w:after="140"/>
      </w:pPr>
      <w:r>
        <w:t xml:space="preserve">Der Spieler war laut LSG weisungsgebunden in die Organisation des Fußballvereins eingegliedert. </w:t>
      </w:r>
      <w:r w:rsidRPr="000C10EC">
        <w:rPr>
          <w:bCs/>
        </w:rPr>
        <w:t>E</w:t>
      </w:r>
      <w:r>
        <w:t xml:space="preserve">ine </w:t>
      </w:r>
      <w:r w:rsidRPr="00ED252E">
        <w:rPr>
          <w:b/>
          <w:bCs/>
        </w:rPr>
        <w:t>weisungsgebundene Eingliederung</w:t>
      </w:r>
      <w:r>
        <w:t xml:space="preserve"> eines Fußballspielers sei gegeben, wenn er sich gegenüber dem Verein zur Erbringung sportlicher Tätigkeiten nach Weisung des Vereins verpflichte, typischerweise gegen Zahlung eines Arbeitsentgelts. An einer (beitragsrechtlichen) Beschäftigung fehle es hingegen, wenn zwischen Sportler und Verein lediglich mitgliedschaft</w:t>
      </w:r>
      <w:r w:rsidR="00FA3A9D">
        <w:t>srecht</w:t>
      </w:r>
      <w:r>
        <w:t>liche Bindungen bestünden. Aufgrund des Vertrags sei der Spieler zur Teilnahme a</w:t>
      </w:r>
      <w:r w:rsidR="00FA3A9D">
        <w:t>n</w:t>
      </w:r>
      <w:r>
        <w:t xml:space="preserve"> Training und Spielbetrieb verpflichtet gewesen</w:t>
      </w:r>
      <w:r w:rsidR="00FA3A9D">
        <w:t>. H</w:t>
      </w:r>
      <w:r>
        <w:t>ierfür habe er eine Vergütung von 250 € erhalten, die als „Bruttogehalt“ bezeichnet worden sei. Diese Zahlungen hätten auch keine bloße Aufwandsentschädigung dargestellt, da die Fahrten zu den Spielen mit dem Mannschaftsbus erfolgt seien und auch die Kleidung vom Verein gestellt worden sei.</w:t>
      </w:r>
    </w:p>
    <w:p w14:paraId="028A813B" w14:textId="77777777" w:rsidR="00484A68" w:rsidRDefault="00484A68" w:rsidP="00484A68">
      <w:pPr>
        <w:spacing w:after="140"/>
      </w:pPr>
      <w:r>
        <w:t xml:space="preserve">Damit war das dem Kläger gezahlte Entgelt nach Ansicht des LSG als </w:t>
      </w:r>
      <w:r w:rsidRPr="00ED252E">
        <w:rPr>
          <w:b/>
          <w:bCs/>
        </w:rPr>
        <w:t>wirtschaftliche Gegenleistung</w:t>
      </w:r>
      <w:r>
        <w:t xml:space="preserve"> für seine Tätigkeit als Fußballspieler zu bewerten. Das gelte auch, „wenn die gezahlte Vergütung darüber hinaus auch einen materiellen Anreiz für eine Bindung an den Verein dargestellt und eine Förderung der sportlichen Leistungsbereitschaft bewirkt haben mag“.</w:t>
      </w:r>
    </w:p>
    <w:p w14:paraId="168C5987" w14:textId="77777777" w:rsidR="00484A68" w:rsidRDefault="00484A68" w:rsidP="00484A68">
      <w:pPr>
        <w:pStyle w:val="berschrift2"/>
      </w:pPr>
      <w:r>
        <w:t>Zuwendungsrecht</w:t>
      </w:r>
      <w:r>
        <w:tab/>
      </w:r>
    </w:p>
    <w:p w14:paraId="21534027" w14:textId="77777777" w:rsidR="00484A68" w:rsidRDefault="00484A68" w:rsidP="00484A68">
      <w:pPr>
        <w:pStyle w:val="berschrift1"/>
      </w:pPr>
      <w:r>
        <w:t xml:space="preserve">Handelnde Personen sollten Sie </w:t>
      </w:r>
      <w:r>
        <w:br/>
        <w:t>sorgfältig auswählen</w:t>
      </w:r>
    </w:p>
    <w:p w14:paraId="11D0D3D0" w14:textId="77777777" w:rsidR="00484A68" w:rsidRDefault="00484A68" w:rsidP="00484A68">
      <w:r>
        <w:t>Erhält Ihr Verein Zuwendungen</w:t>
      </w:r>
      <w:r w:rsidRPr="00AB4C00">
        <w:t xml:space="preserve"> </w:t>
      </w:r>
      <w:r>
        <w:t xml:space="preserve">der öffentlichen Hand? Dann kennen Sie das Erfordernis, zum Ende der geförderten Maßnahme einen </w:t>
      </w:r>
      <w:r>
        <w:rPr>
          <w:b/>
        </w:rPr>
        <w:t>Verwendungsnachweis</w:t>
      </w:r>
      <w:r>
        <w:t xml:space="preserve"> zu erstellen. Damit weisen Sie anhand von Unterlagen nach, dass das Projekt ordnungsgemäß durchgeführt wurde. Gibt ein für den Verein Handelnder die Unterlagen nicht (fristgerecht) heraus, kann das hohe Rückzahlungen auslösen, wie ein Beschluss des Oberverwaltungsgerichts NRW zeigt.</w:t>
      </w:r>
    </w:p>
    <w:p w14:paraId="135A9C85" w14:textId="4106B1CC" w:rsidR="00484A68" w:rsidRDefault="00484A68" w:rsidP="00484A68">
      <w:r>
        <w:t xml:space="preserve">Da der Verein Unterlagen nicht vorgelegt hatte, forderte der Zuwendungsgeber knapp 50.000 € von ihm zurück. Die dagegen gerichtete Klage wurde abgewiesen, die </w:t>
      </w:r>
      <w:r w:rsidRPr="000C10EC">
        <w:rPr>
          <w:b/>
          <w:bCs/>
        </w:rPr>
        <w:t>Berufung</w:t>
      </w:r>
      <w:r>
        <w:t xml:space="preserve"> nicht zugelassen. </w:t>
      </w:r>
      <w:r w:rsidR="00E43F2D">
        <w:t>Auch d</w:t>
      </w:r>
      <w:r>
        <w:t>er Antrag auf Zulassung der Berufung hatte keinen Erfolg.</w:t>
      </w:r>
    </w:p>
    <w:p w14:paraId="16335883" w14:textId="77777777" w:rsidR="00484A68" w:rsidRDefault="00484A68" w:rsidP="00484A68">
      <w:pPr>
        <w:shd w:val="clear" w:color="auto" w:fill="E6E6E6"/>
        <w:ind w:left="284"/>
      </w:pPr>
      <w:r w:rsidRPr="005A5003">
        <w:rPr>
          <w:b/>
          <w:bCs/>
        </w:rPr>
        <w:t>Hinweis:</w:t>
      </w:r>
      <w:r>
        <w:t xml:space="preserve"> </w:t>
      </w:r>
      <w:r w:rsidRPr="00222BF7">
        <w:t xml:space="preserve">Fristen zum Nachweis einer ordnungsgemäßen Mittelverwendung </w:t>
      </w:r>
      <w:r>
        <w:t xml:space="preserve">sollten Sie unbedingt einhalten. Ohne einen ordnungsgemäßen und fristgerechten </w:t>
      </w:r>
      <w:r w:rsidRPr="005A5003">
        <w:t>Verwendungsnach</w:t>
      </w:r>
      <w:r w:rsidRPr="005A5003">
        <w:t xml:space="preserve">weis dürfen Zuwendungen zurückgefordert werden. </w:t>
      </w:r>
      <w:r>
        <w:t>W</w:t>
      </w:r>
      <w:r w:rsidRPr="005A5003">
        <w:t>enn nicht der wirksam gewählte Vorstand, sondern jemand anderes eine Einsicht in die Vereinsunterlagen verwehrt</w:t>
      </w:r>
      <w:r>
        <w:t>, ist das keine Entschuldigung</w:t>
      </w:r>
      <w:r w:rsidRPr="005A5003">
        <w:t>.</w:t>
      </w:r>
    </w:p>
    <w:p w14:paraId="4AD743ED" w14:textId="77777777" w:rsidR="00484A68" w:rsidRDefault="00484A68" w:rsidP="00484A68">
      <w:pPr>
        <w:pStyle w:val="berschrift2"/>
      </w:pPr>
      <w:r>
        <w:t>Betriebsübergang</w:t>
      </w:r>
      <w:r>
        <w:tab/>
      </w:r>
    </w:p>
    <w:p w14:paraId="3F55A6A0" w14:textId="77777777" w:rsidR="00484A68" w:rsidRPr="0025166D" w:rsidRDefault="00484A68" w:rsidP="00484A68">
      <w:pPr>
        <w:pStyle w:val="berschrift1"/>
      </w:pPr>
      <w:r>
        <w:t>Arbeitsverhältnis geht auf den Erwerber über, nicht aber die Organstellung</w:t>
      </w:r>
    </w:p>
    <w:p w14:paraId="53E6258F" w14:textId="77777777" w:rsidR="00484A68" w:rsidRPr="00D90477" w:rsidRDefault="00484A68" w:rsidP="00484A68">
      <w:r w:rsidRPr="008E642D">
        <w:t>Vereinsvorstände können eine Vergütung erhal</w:t>
      </w:r>
      <w:r>
        <w:t xml:space="preserve">ten, wenn es die Satzung erlaubt. Sie sind dann entweder auf der Grundlage eines Dienst- oder eines Arbeitsvertrags tätig. Zwischen diesen beiden Vertragsvarianten besteht ein feiner Unterschied, der sich zum Beispiel bei einem Betriebsübergang offenbart. Das Bundesarbeitsgericht hat dazu eine wegweisende Entscheidung getroffen: </w:t>
      </w:r>
      <w:r w:rsidRPr="00D90477">
        <w:t xml:space="preserve">Liegt der rechtlichen Beziehung zwischen Organ und Gesellschaft ein Arbeitsverhältnis zugrunde, geht bei einem Betriebsübergang zwar das Arbeitsverhältnis, nicht aber die </w:t>
      </w:r>
      <w:r w:rsidRPr="0025166D">
        <w:rPr>
          <w:b/>
          <w:bCs/>
        </w:rPr>
        <w:t>Organstellung</w:t>
      </w:r>
      <w:r w:rsidRPr="00D90477">
        <w:t xml:space="preserve"> auf den Erwerber über.</w:t>
      </w:r>
    </w:p>
    <w:p w14:paraId="3F3BCC32" w14:textId="7EE54A28" w:rsidR="00484A68" w:rsidRDefault="00484A68" w:rsidP="00484A68">
      <w:pPr>
        <w:shd w:val="clear" w:color="auto" w:fill="E6E6E6"/>
        <w:spacing w:after="150"/>
        <w:ind w:left="284"/>
      </w:pPr>
      <w:r w:rsidRPr="0025166D">
        <w:rPr>
          <w:b/>
          <w:bCs/>
        </w:rPr>
        <w:t>Hinweis:</w:t>
      </w:r>
      <w:r>
        <w:t xml:space="preserve"> Diese Entscheidung ist auf den Übergang </w:t>
      </w:r>
      <w:r w:rsidR="006B5268">
        <w:t>eines</w:t>
      </w:r>
      <w:r>
        <w:t xml:space="preserve"> Geschäftsbereichs eines Vereins auf einen anderen Träger und damit auf Vereinsvorstände übertragbar.</w:t>
      </w:r>
    </w:p>
    <w:p w14:paraId="74156D8E" w14:textId="77777777" w:rsidR="00484A68" w:rsidRDefault="00484A68" w:rsidP="00484A68">
      <w:pPr>
        <w:pStyle w:val="berschrift2"/>
      </w:pPr>
      <w:r>
        <w:t>Registerrecht</w:t>
      </w:r>
      <w:r>
        <w:tab/>
      </w:r>
    </w:p>
    <w:p w14:paraId="7518E727" w14:textId="4895B6A4" w:rsidR="00484A68" w:rsidRDefault="00484A68" w:rsidP="00484A68">
      <w:pPr>
        <w:pStyle w:val="berschrift1"/>
      </w:pPr>
      <w:r>
        <w:t xml:space="preserve">Eintragungen im Vereinsregister </w:t>
      </w:r>
      <w:r w:rsidR="009101AF">
        <w:t xml:space="preserve">sind </w:t>
      </w:r>
      <w:r>
        <w:t>datenschutzkonform</w:t>
      </w:r>
    </w:p>
    <w:p w14:paraId="5768CC10" w14:textId="07F3BE03" w:rsidR="00484A68" w:rsidRDefault="00484A68" w:rsidP="00484A68">
      <w:r>
        <w:t xml:space="preserve">Eingetragene Vereine unterliegen einem Registerzwang. Das heißt, dass unter anderem Angaben zu den Vorstandsmitgliedern im Vereinsregister verzeichnet sind. Aufgenommen wird </w:t>
      </w:r>
      <w:r w:rsidR="0040351D">
        <w:t xml:space="preserve">dort sowohl </w:t>
      </w:r>
      <w:r>
        <w:t>der Umstand, dass die Person ein Vorstandsamt wahr</w:t>
      </w:r>
      <w:r w:rsidR="0040351D">
        <w:t>nimmt</w:t>
      </w:r>
      <w:r>
        <w:t xml:space="preserve">, </w:t>
      </w:r>
      <w:r w:rsidR="0040351D">
        <w:t xml:space="preserve">als </w:t>
      </w:r>
      <w:r>
        <w:t xml:space="preserve">auch ihr Name und Geburtsdatum. Diese Eintragungen werden </w:t>
      </w:r>
      <w:r w:rsidR="0040351D">
        <w:t xml:space="preserve">selbst </w:t>
      </w:r>
      <w:r>
        <w:t xml:space="preserve">nach dem Ausscheiden aus dem Amt beibehalten. Dass dies auch unter der </w:t>
      </w:r>
      <w:r w:rsidRPr="00CF6FC6">
        <w:rPr>
          <w:b/>
          <w:bCs/>
        </w:rPr>
        <w:t>Datenschutz-Grund</w:t>
      </w:r>
      <w:r w:rsidRPr="00CF6FC6">
        <w:rPr>
          <w:b/>
          <w:bCs/>
        </w:rPr>
        <w:softHyphen/>
        <w:t>verordnung</w:t>
      </w:r>
      <w:r>
        <w:t xml:space="preserve"> (DSGVO) gilt, hat nun das Oberlandesgericht Köln (OLG) klargestellt.</w:t>
      </w:r>
    </w:p>
    <w:p w14:paraId="6A695641" w14:textId="39D10014" w:rsidR="00484A68" w:rsidRPr="00CF6FC6" w:rsidRDefault="00484A68" w:rsidP="00484A68">
      <w:r>
        <w:t>Ein bereits 2004 ausgeschiedener Vereinsvorstand war nicht damit einverstanden, dass sein vollständiger Name, die Dauer seiner Vorstands</w:t>
      </w:r>
      <w:r>
        <w:softHyphen/>
        <w:t xml:space="preserve">tätigkeit und sein Geburtsdatum im Vereinsregister </w:t>
      </w:r>
      <w:r w:rsidR="00475D63">
        <w:t xml:space="preserve">- </w:t>
      </w:r>
      <w:r>
        <w:t xml:space="preserve">und damit über das Internet frei verfügbar </w:t>
      </w:r>
      <w:r w:rsidR="006B5268">
        <w:t>-</w:t>
      </w:r>
      <w:r w:rsidR="00475D63">
        <w:t xml:space="preserve"> genannt wurden</w:t>
      </w:r>
      <w:r>
        <w:t xml:space="preserve">. </w:t>
      </w:r>
      <w:r w:rsidR="00475D63">
        <w:t>Er</w:t>
      </w:r>
      <w:r>
        <w:t xml:space="preserve"> berief sich auf </w:t>
      </w:r>
      <w:r w:rsidRPr="00CF6FC6">
        <w:t xml:space="preserve">ein </w:t>
      </w:r>
      <w:r>
        <w:t xml:space="preserve">vermeintlich bestehendes </w:t>
      </w:r>
      <w:r w:rsidRPr="00CF6FC6">
        <w:rPr>
          <w:b/>
          <w:bCs/>
        </w:rPr>
        <w:t>Widerspruchsrecht</w:t>
      </w:r>
      <w:r w:rsidRPr="00CF6FC6">
        <w:t xml:space="preserve"> gegen die Eintragungen</w:t>
      </w:r>
      <w:r>
        <w:t xml:space="preserve"> i</w:t>
      </w:r>
      <w:r w:rsidRPr="00CF6FC6">
        <w:t>m Vereinsregister</w:t>
      </w:r>
      <w:r>
        <w:t>.</w:t>
      </w:r>
    </w:p>
    <w:p w14:paraId="661EF0A6" w14:textId="77777777" w:rsidR="00484A68" w:rsidRDefault="00484A68" w:rsidP="00484A68">
      <w:pPr>
        <w:shd w:val="clear" w:color="auto" w:fill="E6E6E6"/>
        <w:ind w:left="284"/>
      </w:pPr>
      <w:r>
        <w:rPr>
          <w:b/>
        </w:rPr>
        <w:t>Hinweis:</w:t>
      </w:r>
      <w:r>
        <w:t xml:space="preserve"> Unter www.handelsregister.de können die Angaben im Vereinsregister kostenfrei eingesehen werden.</w:t>
      </w:r>
    </w:p>
    <w:p w14:paraId="28BA40B3" w14:textId="06F1B2B0" w:rsidR="00BE1449" w:rsidRPr="008A48F2" w:rsidRDefault="00BE1449" w:rsidP="00D9287C">
      <w:pPr>
        <w:sectPr w:rsidR="00BE1449" w:rsidRPr="008A48F2" w:rsidSect="00972AD9">
          <w:headerReference w:type="even" r:id="rId7"/>
          <w:headerReference w:type="default" r:id="rId8"/>
          <w:headerReference w:type="first" r:id="rId9"/>
          <w:footnotePr>
            <w:numRestart w:val="eachSect"/>
          </w:footnotePr>
          <w:type w:val="continuous"/>
          <w:pgSz w:w="11907" w:h="16840" w:code="9"/>
          <w:pgMar w:top="1134" w:right="1134" w:bottom="1134" w:left="1247" w:header="720" w:footer="1418" w:gutter="0"/>
          <w:cols w:num="2" w:space="709"/>
          <w:titlePg/>
        </w:sectPr>
      </w:pPr>
    </w:p>
    <w:p w14:paraId="34435ACA" w14:textId="162B425F" w:rsidR="00484A68" w:rsidRDefault="00484A68" w:rsidP="00484A68">
      <w:r>
        <w:lastRenderedPageBreak/>
        <w:t xml:space="preserve">Die Beschwerde hatte keinen Erfolg, da die Eintragungen und die Löschung des </w:t>
      </w:r>
      <w:r w:rsidR="00475D63">
        <w:t xml:space="preserve">Betroffenen </w:t>
      </w:r>
      <w:r>
        <w:t>durch bloße „Rötung“ nach seinem Ausscheiden nicht gegen europäisches Recht verstoßen.</w:t>
      </w:r>
    </w:p>
    <w:p w14:paraId="16FEB520" w14:textId="4070EBAC" w:rsidR="00484A68" w:rsidRDefault="00484A68" w:rsidP="00484A68">
      <w:r>
        <w:t xml:space="preserve">Der Einwand des ehemaligen Vorstandsmitglieds, dass europäisches Recht vorrangig sei, überzeugte das OLG nicht. Die </w:t>
      </w:r>
      <w:r w:rsidR="00475D63">
        <w:t xml:space="preserve">DSGVO </w:t>
      </w:r>
      <w:r>
        <w:t>habe dem nationalen Gesetzgeber Regelungsinhalte belassen. Davon habe Deutschland Gebrauch gemacht, da bei Ein</w:t>
      </w:r>
      <w:r w:rsidRPr="00CF6FC6">
        <w:t xml:space="preserve">tragungen im Vereinsregister der Grundsatz der Erhaltung der Eintragung gelte, </w:t>
      </w:r>
      <w:r>
        <w:t>die</w:t>
      </w:r>
      <w:r w:rsidRPr="00CF6FC6">
        <w:t xml:space="preserve"> den Kern des materiell-rechtlichen </w:t>
      </w:r>
      <w:r w:rsidRPr="00CF6FC6">
        <w:rPr>
          <w:b/>
          <w:bCs/>
        </w:rPr>
        <w:t>Publizitätsprinzips</w:t>
      </w:r>
      <w:r w:rsidRPr="00CF6FC6">
        <w:t xml:space="preserve"> bilde.</w:t>
      </w:r>
      <w:r>
        <w:t xml:space="preserve"> Sollten Eintragungen über einen längeren Zeitraum nicht einsehbar sein, würde das dem Kern des Grundsatzes der Publizitätswirkung widersprechen.</w:t>
      </w:r>
    </w:p>
    <w:p w14:paraId="447759E0" w14:textId="605B75D7" w:rsidR="00484A68" w:rsidRDefault="00484A68" w:rsidP="00484A68">
      <w:r>
        <w:t xml:space="preserve">Auch der Hinweis des ehemaligen Vorstandsmitglieds, dass seine Daten nicht mehr erforderlich seien, weil er schon im Jahr 2004 aus dem Vorstandsamt ausgeschieden sei, verhalf </w:t>
      </w:r>
      <w:r w:rsidR="00257660">
        <w:t xml:space="preserve">seiner Beschwerde </w:t>
      </w:r>
      <w:r>
        <w:t>nicht zum Erfolg. Es sei gerade Folge der uneingeschränkten Publizitätswirkung des Vereinsregisters, dass auch überholte Eintragungen aus dem Register ersichtlich seien; dieser Umstand werde durch „Rötung“ gekennzeichnet. Aus dem Register müsse nicht nur die jeweils aktuelle Situation</w:t>
      </w:r>
      <w:r w:rsidR="00257660">
        <w:t>,</w:t>
      </w:r>
      <w:r>
        <w:t xml:space="preserve"> z.B. bezüglich der Vertretungsbefugnisse</w:t>
      </w:r>
      <w:r w:rsidR="00257660">
        <w:t>,</w:t>
      </w:r>
      <w:r>
        <w:t xml:space="preserve"> ersichtlich sein, sondern auch die </w:t>
      </w:r>
      <w:r w:rsidRPr="00D3187D">
        <w:rPr>
          <w:b/>
          <w:bCs/>
        </w:rPr>
        <w:t>früher bestehenden Vertretungsbefugnisse</w:t>
      </w:r>
      <w:r>
        <w:t>. Diese könnten im Hinblick auf die Wirksamkeit von Eintragungen, Satzungsänderungen oder abgeschlossenen Rechtsgeschäften auch deutlich später noch von erheblicher Bedeutung sein.</w:t>
      </w:r>
    </w:p>
    <w:p w14:paraId="31BFCAA1" w14:textId="77777777" w:rsidR="00484A68" w:rsidRDefault="00484A68" w:rsidP="00484A68">
      <w:pPr>
        <w:shd w:val="clear" w:color="auto" w:fill="E6E6E6"/>
        <w:ind w:left="284"/>
      </w:pPr>
      <w:r>
        <w:rPr>
          <w:b/>
        </w:rPr>
        <w:t>Hinweis:</w:t>
      </w:r>
      <w:r>
        <w:t xml:space="preserve"> Das OLG hat die Rechtsbeschwerde wegen grundsätzlicher Bedeutung zugelassen.</w:t>
      </w:r>
    </w:p>
    <w:p w14:paraId="25CD5DAE" w14:textId="77777777" w:rsidR="00484A68" w:rsidRDefault="00484A68" w:rsidP="00484A68">
      <w:pPr>
        <w:pStyle w:val="berschrift2"/>
      </w:pPr>
      <w:r>
        <w:t>Steuertipp</w:t>
      </w:r>
      <w:r>
        <w:tab/>
      </w:r>
    </w:p>
    <w:p w14:paraId="528F91DC" w14:textId="77777777" w:rsidR="00484A68" w:rsidRDefault="00484A68" w:rsidP="00484A68">
      <w:pPr>
        <w:pStyle w:val="berschrift1"/>
      </w:pPr>
      <w:r>
        <w:t>Ist bei Kooperationen ein doppeltes Satzungserfordernis gerechtfertigt?</w:t>
      </w:r>
    </w:p>
    <w:p w14:paraId="68DB80DB" w14:textId="699DCF92" w:rsidR="00484A68" w:rsidRDefault="00000000" w:rsidP="00484A68">
      <w:r>
        <w:rPr>
          <w:noProof/>
        </w:rPr>
        <w:pict w14:anchorId="759F3D94">
          <v:shapetype id="_x0000_t202" coordsize="21600,21600" o:spt="202" path="m,l,21600r21600,l21600,xe">
            <v:stroke joinstyle="miter"/>
            <v:path gradientshapeok="t" o:connecttype="rect"/>
          </v:shapetype>
          <v:shape id="_x0000_s2113" type="#_x0000_t202" style="position:absolute;left:0;text-align:left;margin-left:-7.85pt;margin-top:709.5pt;width:492pt;height:60pt;flip:y;z-index:1;mso-position-horizontal-relative:margin;mso-position-vertical-relative:margin" filled="f" stroked="f">
            <v:textbox style="mso-next-textbox:#_x0000_s2113">
              <w:txbxContent>
                <w:p w14:paraId="4A806E03" w14:textId="77777777" w:rsidR="009101AF" w:rsidRDefault="009101AF" w:rsidP="009101AF">
                  <w:pPr>
                    <w:tabs>
                      <w:tab w:val="right" w:pos="9498"/>
                    </w:tabs>
                    <w:spacing w:after="0" w:line="170" w:lineRule="exact"/>
                    <w:rPr>
                      <w:rFonts w:ascii="Arial" w:hAnsi="Arial"/>
                      <w:sz w:val="16"/>
                    </w:rPr>
                  </w:pPr>
                  <w:r>
                    <w:rPr>
                      <w:rFonts w:ascii="Arial" w:hAnsi="Arial"/>
                      <w:spacing w:val="-2"/>
                      <w:sz w:val="16"/>
                      <w:szCs w:val="16"/>
                    </w:rPr>
                    <w:t>                                                                                                                                                                                                                                                                                                                                                                                                                                                                                                                                                                                                                                                                                                                                                                                                                                                                                                                                                                                                                                                                                                        </w:t>
                  </w:r>
                </w:p>
                <w:p w14:paraId="3C0943D4" w14:textId="77777777" w:rsidR="009101AF" w:rsidRDefault="009101AF" w:rsidP="009101AF">
                  <w:pPr>
                    <w:tabs>
                      <w:tab w:val="right" w:pos="9498"/>
                    </w:tabs>
                    <w:spacing w:after="40" w:line="240" w:lineRule="auto"/>
                    <w:jc w:val="right"/>
                  </w:pPr>
                  <w:r>
                    <w:rPr>
                      <w:rFonts w:ascii="Arial" w:hAnsi="Arial"/>
                      <w:sz w:val="16"/>
                    </w:rPr>
                    <w:t>Alle Informationen nach bestem Wissen, jedoch ohne Gewähr. Diese Information ersetzt nicht die individuelle Beratung!</w:t>
                  </w:r>
                </w:p>
              </w:txbxContent>
            </v:textbox>
            <w10:wrap anchorx="margin" anchory="margin"/>
          </v:shape>
        </w:pict>
      </w:r>
      <w:r w:rsidR="00484A68" w:rsidRPr="00017F3E">
        <w:t xml:space="preserve">Ein steuerbegünstigter Zweck kann auch durch </w:t>
      </w:r>
      <w:r w:rsidR="00484A68" w:rsidRPr="00D65F43">
        <w:rPr>
          <w:b/>
          <w:bCs/>
        </w:rPr>
        <w:t>planmäßiges Zusammenwirken</w:t>
      </w:r>
      <w:r w:rsidR="00484A68" w:rsidRPr="00017F3E">
        <w:t xml:space="preserve"> mit mindestens einer weiteren steuerbegünstigten Körperschaft verwirklicht werden. Voraussetzung ist, dass dieses Zusammenwirken in der Satzung als Art der Zweckverwirklichung festgehalten </w:t>
      </w:r>
      <w:r w:rsidR="00266168">
        <w:t>wird</w:t>
      </w:r>
      <w:r w:rsidR="00484A68" w:rsidRPr="00017F3E">
        <w:t xml:space="preserve">. Die Finanzämter erschweren die Anwendung dieser gesetzlichen Regelung dadurch, dass sie hohe Anforderungen an die Ausgestaltung der Satzungen der kooperierenden Körperschaften stellen. </w:t>
      </w:r>
      <w:r w:rsidR="00484A68">
        <w:t xml:space="preserve">So halten sie eine spiegelbildliche Anpassung der Satzungen aller Kooperationspartner für notwendig. </w:t>
      </w:r>
      <w:r w:rsidR="00484A68" w:rsidRPr="00017F3E">
        <w:t>Das Finanzgericht Hamburg (FG) ist dieser Praxis jetzt in einem ersten Urteil zu dieser Pro</w:t>
      </w:r>
      <w:r w:rsidR="006B5268">
        <w:softHyphen/>
      </w:r>
      <w:r w:rsidR="00484A68" w:rsidRPr="00017F3E">
        <w:t>blematik entgegengetreten.</w:t>
      </w:r>
    </w:p>
    <w:p w14:paraId="47EB4CE4" w14:textId="4D863022" w:rsidR="00484A68" w:rsidRPr="00017F3E" w:rsidRDefault="00484A68" w:rsidP="00484A68">
      <w:pPr>
        <w:spacing w:after="140"/>
      </w:pPr>
      <w:r w:rsidRPr="00D65F43">
        <w:t xml:space="preserve">Wie so oft, ging es auch im Streitfall um </w:t>
      </w:r>
      <w:r w:rsidRPr="00017F3E">
        <w:t xml:space="preserve">Kooperationsleistungen zwischen gemeinnützigen Körperschaften </w:t>
      </w:r>
      <w:r w:rsidRPr="00D65F43">
        <w:t xml:space="preserve">in Form von </w:t>
      </w:r>
      <w:r w:rsidRPr="00017F3E">
        <w:rPr>
          <w:b/>
          <w:bCs/>
        </w:rPr>
        <w:t xml:space="preserve">Unterstützungs- </w:t>
      </w:r>
      <w:r w:rsidRPr="00D65F43">
        <w:rPr>
          <w:b/>
          <w:bCs/>
        </w:rPr>
        <w:t xml:space="preserve">und </w:t>
      </w:r>
      <w:r w:rsidRPr="00017F3E">
        <w:rPr>
          <w:b/>
          <w:bCs/>
        </w:rPr>
        <w:t>Verwaltungsleistungen</w:t>
      </w:r>
      <w:r w:rsidRPr="00017F3E">
        <w:t xml:space="preserve">. </w:t>
      </w:r>
      <w:r w:rsidRPr="00D65F43">
        <w:t xml:space="preserve">Die </w:t>
      </w:r>
      <w:r w:rsidRPr="00017F3E">
        <w:t xml:space="preserve">Klägerin </w:t>
      </w:r>
      <w:r w:rsidRPr="00D65F43">
        <w:t xml:space="preserve">ist </w:t>
      </w:r>
      <w:r w:rsidRPr="00017F3E">
        <w:t xml:space="preserve">eine </w:t>
      </w:r>
      <w:r w:rsidR="0053638D">
        <w:t xml:space="preserve">im Jahr </w:t>
      </w:r>
      <w:r w:rsidRPr="00017F3E">
        <w:t>2022</w:t>
      </w:r>
      <w:r w:rsidRPr="00D65F43">
        <w:t xml:space="preserve"> mit dem </w:t>
      </w:r>
      <w:r w:rsidRPr="00017F3E">
        <w:t>Zweck</w:t>
      </w:r>
      <w:r w:rsidRPr="00D65F43">
        <w:t xml:space="preserve"> gegründete </w:t>
      </w:r>
      <w:r w:rsidRPr="00017F3E">
        <w:t xml:space="preserve">Servicegesellschaft, Dienstleistungen im Bereich der Finanzbuchhaltung und des Rechnungswesens gegenüber einer gemeinnützigen Stiftung zu erbringen. Die Stiftung verfolgte ihre steuerbegünstigten Zwecke unmittelbar; </w:t>
      </w:r>
      <w:r w:rsidRPr="00D65F43">
        <w:t xml:space="preserve">sie war nicht an der </w:t>
      </w:r>
      <w:r w:rsidRPr="00017F3E">
        <w:t>Servicegesellschaft be</w:t>
      </w:r>
      <w:r w:rsidRPr="00D65F43">
        <w:t>teiligt</w:t>
      </w:r>
      <w:r w:rsidRPr="00017F3E">
        <w:t>.</w:t>
      </w:r>
    </w:p>
    <w:p w14:paraId="28F19FEB" w14:textId="7A7FE516" w:rsidR="00484A68" w:rsidRPr="00D65F43" w:rsidRDefault="00484A68" w:rsidP="00484A68">
      <w:pPr>
        <w:spacing w:after="140"/>
      </w:pPr>
      <w:r w:rsidRPr="00017F3E">
        <w:t>Der Gesellschaftsvertrag der Servicegesellschaft erfüllte die gemeinnützigkeitsrechtlichen Vorgaben</w:t>
      </w:r>
      <w:r>
        <w:t xml:space="preserve">. Er </w:t>
      </w:r>
      <w:r w:rsidRPr="00017F3E">
        <w:t xml:space="preserve">sah vor, dass </w:t>
      </w:r>
      <w:r w:rsidR="0053638D">
        <w:t>der</w:t>
      </w:r>
      <w:r w:rsidR="0053638D" w:rsidRPr="00017F3E">
        <w:t xml:space="preserve"> </w:t>
      </w:r>
      <w:r w:rsidRPr="00017F3E">
        <w:t xml:space="preserve">gemeinnützige Satzungszweck durch planmäßiges Zusammenwirken mit der Stiftung verwirklicht </w:t>
      </w:r>
      <w:r w:rsidR="003D78E6">
        <w:t>wird</w:t>
      </w:r>
      <w:r w:rsidRPr="00017F3E">
        <w:t xml:space="preserve">. </w:t>
      </w:r>
      <w:r w:rsidRPr="00D65F43">
        <w:t xml:space="preserve">Ein entsprechender Passus </w:t>
      </w:r>
      <w:r w:rsidRPr="00017F3E">
        <w:t>wurde in den Gesellschaftsvertrag aufgenommen</w:t>
      </w:r>
      <w:r w:rsidRPr="00D65F43">
        <w:t xml:space="preserve">. Demgegenüber </w:t>
      </w:r>
      <w:r w:rsidR="003D78E6">
        <w:t>wurde</w:t>
      </w:r>
      <w:r w:rsidR="003D78E6" w:rsidRPr="00D65F43">
        <w:t xml:space="preserve"> </w:t>
      </w:r>
      <w:r w:rsidRPr="00D65F43">
        <w:t xml:space="preserve">die </w:t>
      </w:r>
      <w:r w:rsidRPr="00017F3E">
        <w:rPr>
          <w:b/>
          <w:bCs/>
        </w:rPr>
        <w:t xml:space="preserve">Satzung </w:t>
      </w:r>
      <w:r w:rsidRPr="00F11AB9">
        <w:rPr>
          <w:b/>
          <w:bCs/>
        </w:rPr>
        <w:t>der S</w:t>
      </w:r>
      <w:r w:rsidRPr="00017F3E">
        <w:rPr>
          <w:b/>
          <w:bCs/>
        </w:rPr>
        <w:t>tiftung</w:t>
      </w:r>
      <w:r w:rsidRPr="00D65F43">
        <w:t xml:space="preserve"> </w:t>
      </w:r>
      <w:r w:rsidRPr="00017F3E">
        <w:t xml:space="preserve">hinsichtlich der geplanten Kooperationsleistungen nicht geändert. </w:t>
      </w:r>
      <w:r w:rsidRPr="00D65F43">
        <w:t xml:space="preserve">Das Finanzamt hielt </w:t>
      </w:r>
      <w:r w:rsidRPr="00017F3E">
        <w:t xml:space="preserve">die Anpassung der Stiftungssatzung </w:t>
      </w:r>
      <w:r w:rsidRPr="00D65F43">
        <w:t xml:space="preserve">allerdings </w:t>
      </w:r>
      <w:r w:rsidRPr="00017F3E">
        <w:t>für zwingend erforderlich</w:t>
      </w:r>
      <w:r w:rsidRPr="00D65F43">
        <w:t xml:space="preserve"> und verwehrte </w:t>
      </w:r>
      <w:r w:rsidRPr="00017F3E">
        <w:t>der Servicegesellschaft die Anerkennung der Gemeinnützigkeit.</w:t>
      </w:r>
    </w:p>
    <w:p w14:paraId="5890D316" w14:textId="1B6F4447" w:rsidR="00484A68" w:rsidRDefault="00484A68" w:rsidP="00484A68">
      <w:pPr>
        <w:spacing w:after="140"/>
      </w:pPr>
      <w:r w:rsidRPr="002E4068">
        <w:t xml:space="preserve">Die dagegen gerichtete Klage </w:t>
      </w:r>
      <w:r w:rsidRPr="00017F3E">
        <w:t>der Servicegesellschaft</w:t>
      </w:r>
      <w:r w:rsidRPr="002E4068">
        <w:t xml:space="preserve"> hatte Erfolg. </w:t>
      </w:r>
      <w:r>
        <w:t>E</w:t>
      </w:r>
      <w:r w:rsidRPr="00017F3E">
        <w:t xml:space="preserve">in „doppeltes Satzungserfordernis“ </w:t>
      </w:r>
      <w:r>
        <w:t xml:space="preserve">sei </w:t>
      </w:r>
      <w:r w:rsidRPr="002E4068">
        <w:t>nicht Voraussetzung da</w:t>
      </w:r>
      <w:r w:rsidRPr="00017F3E">
        <w:t>für</w:t>
      </w:r>
      <w:r w:rsidRPr="002E4068">
        <w:t xml:space="preserve">, dass die Körperschaft unmittelbar ihre steuerbegünstigten </w:t>
      </w:r>
      <w:r w:rsidRPr="00F11AB9">
        <w:rPr>
          <w:b/>
          <w:bCs/>
        </w:rPr>
        <w:t>satzungsmäßigen Zwecke erfülle</w:t>
      </w:r>
      <w:r w:rsidRPr="002E4068">
        <w:t>. F</w:t>
      </w:r>
      <w:r w:rsidRPr="00017F3E">
        <w:t xml:space="preserve">ür die Beurteilung der Gemeinnützigkeit der Servicegesellschaft </w:t>
      </w:r>
      <w:r w:rsidRPr="002E4068">
        <w:t>k</w:t>
      </w:r>
      <w:r>
        <w:t>omme</w:t>
      </w:r>
      <w:r w:rsidRPr="002E4068">
        <w:t xml:space="preserve"> es </w:t>
      </w:r>
      <w:r w:rsidRPr="00017F3E">
        <w:t xml:space="preserve">nicht auf die Ausgestaltung der Stiftungssatzung an. Das „doppelte Satzungserfordernis“ sei weder aus dem </w:t>
      </w:r>
      <w:r w:rsidR="00E82C62">
        <w:t xml:space="preserve">Wortlaut des </w:t>
      </w:r>
      <w:r w:rsidRPr="002E4068">
        <w:t>Gesetz</w:t>
      </w:r>
      <w:r w:rsidR="00E82C62">
        <w:t>es</w:t>
      </w:r>
      <w:r w:rsidRPr="002E4068">
        <w:t xml:space="preserve"> </w:t>
      </w:r>
      <w:r w:rsidRPr="00017F3E">
        <w:t>noch im Wege der Auslegung herzuleiten.</w:t>
      </w:r>
    </w:p>
    <w:p w14:paraId="46FECF3B" w14:textId="1A88C3C4" w:rsidR="00484A68" w:rsidRDefault="00484A68" w:rsidP="00484A68">
      <w:pPr>
        <w:spacing w:after="140"/>
      </w:pPr>
      <w:r>
        <w:t xml:space="preserve">Wenn das Gesetz vorsehe, dass das Zusammenwirken „satzungsgemäß“ erfolgen müsse, könne sich dies nur auf die Satzung der leistungserbringenden Körperschaft beziehen. </w:t>
      </w:r>
      <w:r w:rsidR="00E82C62">
        <w:t xml:space="preserve">Der </w:t>
      </w:r>
      <w:r>
        <w:t>Sinn und Zweck des Gesetzes verlange die vom Finanzamt vertretene enge Auslegung ebenfalls nicht</w:t>
      </w:r>
      <w:r w:rsidR="006B5268">
        <w:t xml:space="preserve">, sondern diesem Zweck würde </w:t>
      </w:r>
      <w:r>
        <w:t xml:space="preserve">dadurch entgegengewirkt. Nach Ansicht das FG verfolgt das Gesetz zum einen allgemein das Ziel der </w:t>
      </w:r>
      <w:r w:rsidRPr="00480339">
        <w:rPr>
          <w:b/>
          <w:bCs/>
        </w:rPr>
        <w:t>Vereinfachung des Gemeinnützigkeitsrechts</w:t>
      </w:r>
      <w:r>
        <w:t>, zum anderen sollten Kooperationen nach dem Willen des Gesetzgebers ermöglicht bzw. erleichtert werden.</w:t>
      </w:r>
    </w:p>
    <w:p w14:paraId="3860D4EA" w14:textId="77777777" w:rsidR="00484A68" w:rsidRDefault="00484A68" w:rsidP="00484A68">
      <w:pPr>
        <w:shd w:val="clear" w:color="auto" w:fill="E6E6E6"/>
        <w:spacing w:after="140"/>
        <w:ind w:left="284"/>
      </w:pPr>
      <w:r>
        <w:rPr>
          <w:b/>
        </w:rPr>
        <w:t>Hinweis:</w:t>
      </w:r>
      <w:r>
        <w:t xml:space="preserve"> Das Finanzamt hat gegen die Entscheidung Revision eingelegt, so dass sich der Bundesfinanzhof zum </w:t>
      </w:r>
      <w:r w:rsidRPr="00017F3E">
        <w:t>„doppelte</w:t>
      </w:r>
      <w:r>
        <w:t>n</w:t>
      </w:r>
      <w:r w:rsidRPr="00017F3E">
        <w:t xml:space="preserve"> Satzungserfordernis“</w:t>
      </w:r>
      <w:r>
        <w:t xml:space="preserve"> positionieren muss.</w:t>
      </w:r>
    </w:p>
    <w:p w14:paraId="4583F99C" w14:textId="77777777" w:rsidR="00BE1449" w:rsidRDefault="00F91FB1" w:rsidP="00F91FB1">
      <w:pPr>
        <w:jc w:val="right"/>
      </w:pPr>
      <w:r>
        <w:t>Mit freundlichen Grüßen</w:t>
      </w:r>
    </w:p>
    <w:p w14:paraId="730B9FB3" w14:textId="77777777" w:rsidR="00D94A15" w:rsidRDefault="00D94A15" w:rsidP="00F91FB1">
      <w:pPr>
        <w:jc w:val="right"/>
      </w:pPr>
    </w:p>
    <w:p w14:paraId="1FFA818D" w14:textId="77777777" w:rsidR="00F91FB1" w:rsidRDefault="00F91FB1" w:rsidP="00F91FB1">
      <w:pPr>
        <w:jc w:val="right"/>
      </w:pPr>
    </w:p>
    <w:p w14:paraId="6848CADF" w14:textId="77777777" w:rsidR="00BE31C5" w:rsidRDefault="00BE31C5" w:rsidP="00F91FB1">
      <w:pPr>
        <w:jc w:val="right"/>
      </w:pPr>
    </w:p>
    <w:sectPr w:rsidR="00BE31C5" w:rsidSect="00972AD9">
      <w:headerReference w:type="even" r:id="rId10"/>
      <w:headerReference w:type="default" r:id="rId11"/>
      <w:footerReference w:type="default" r:id="rId12"/>
      <w:footnotePr>
        <w:numRestart w:val="eachSect"/>
      </w:footnotePr>
      <w:pgSz w:w="11907" w:h="16840" w:code="9"/>
      <w:pgMar w:top="1134" w:right="1134" w:bottom="1418" w:left="1247" w:header="720" w:footer="1418" w:gutter="0"/>
      <w:cols w:num="2"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BF00C" w14:textId="77777777" w:rsidR="00972AD9" w:rsidRDefault="00972AD9">
      <w:r>
        <w:separator/>
      </w:r>
    </w:p>
  </w:endnote>
  <w:endnote w:type="continuationSeparator" w:id="0">
    <w:p w14:paraId="4107CC75" w14:textId="77777777" w:rsidR="00972AD9" w:rsidRDefault="0097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4E09A" w14:textId="77777777" w:rsidR="007405D3" w:rsidRPr="00FD6C18" w:rsidRDefault="007405D3" w:rsidP="00FD6C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B8A85" w14:textId="77777777" w:rsidR="00972AD9" w:rsidRDefault="00972AD9">
      <w:r>
        <w:separator/>
      </w:r>
    </w:p>
  </w:footnote>
  <w:footnote w:type="continuationSeparator" w:id="0">
    <w:p w14:paraId="3C7FB67A" w14:textId="77777777" w:rsidR="00972AD9" w:rsidRDefault="00972A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DE852" w14:textId="7F7A65C4" w:rsidR="007405D3" w:rsidRDefault="007405D3">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9101AF">
      <w:rPr>
        <w:rFonts w:ascii="Arial" w:hAnsi="Arial" w:cs="Arial"/>
        <w:sz w:val="16"/>
      </w:rPr>
      <w:t>02/24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5C4DB9">
      <w:rPr>
        <w:rFonts w:ascii="Arial" w:hAnsi="Arial" w:cs="Arial"/>
        <w:noProof/>
        <w:sz w:val="16"/>
      </w:rPr>
      <w:t>2</w:t>
    </w:r>
    <w:r>
      <w:rPr>
        <w:rFonts w:ascii="Arial" w:hAnsi="Arial" w:cs="Arial"/>
        <w:sz w:val="16"/>
      </w:rPr>
      <w:fldChar w:fldCharType="end"/>
    </w:r>
  </w:p>
  <w:p w14:paraId="2F5655D3" w14:textId="77777777" w:rsidR="007405D3" w:rsidRDefault="007405D3">
    <w:pPr>
      <w:tabs>
        <w:tab w:val="left" w:pos="360"/>
        <w:tab w:val="left" w:pos="840"/>
        <w:tab w:val="right" w:pos="9120"/>
      </w:tabs>
      <w:spacing w:after="0"/>
      <w:rPr>
        <w:rFonts w:ascii="Arial" w:hAnsi="Arial" w:cs="Arial"/>
        <w:spacing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98D19" w14:textId="0FCCD3FC" w:rsidR="007405D3" w:rsidRDefault="007405D3">
    <w:pPr>
      <w:tabs>
        <w:tab w:val="clear" w:pos="1152"/>
        <w:tab w:val="clear" w:pos="2448"/>
        <w:tab w:val="clear" w:pos="8496"/>
        <w:tab w:val="left" w:pos="360"/>
        <w:tab w:val="left" w:pos="840"/>
        <w:tab w:val="right" w:pos="9120"/>
      </w:tabs>
      <w:spacing w:after="0"/>
      <w:jc w:val="right"/>
      <w:rPr>
        <w:rFonts w:ascii="Arial" w:hAnsi="Arial" w:cs="Arial"/>
        <w:spacing w:val="-15"/>
      </w:rPr>
    </w:pPr>
    <w:r>
      <w:rPr>
        <w:rFonts w:ascii="Arial" w:hAnsi="Arial" w:cs="Arial"/>
        <w:sz w:val="16"/>
      </w:rPr>
      <w:t xml:space="preserve">Mandanten-Information für Vereine </w:t>
    </w:r>
    <w:r w:rsidR="009101AF">
      <w:rPr>
        <w:rFonts w:ascii="Arial" w:hAnsi="Arial" w:cs="Arial"/>
        <w:sz w:val="16"/>
      </w:rPr>
      <w:t>02/24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5C4DB9">
      <w:rPr>
        <w:rFonts w:ascii="Arial" w:hAnsi="Arial" w:cs="Arial"/>
        <w:noProof/>
        <w:sz w:val="16"/>
      </w:rPr>
      <w:t>3</w:t>
    </w:r>
    <w:r>
      <w:rPr>
        <w:rFonts w:ascii="Arial" w:hAnsi="Arial" w:cs="Arial"/>
        <w:sz w:val="16"/>
      </w:rPr>
      <w:fldChar w:fldCharType="end"/>
    </w:r>
  </w:p>
  <w:p w14:paraId="48E6F2BD" w14:textId="77777777" w:rsidR="007405D3" w:rsidRDefault="007405D3">
    <w:pPr>
      <w:tabs>
        <w:tab w:val="left" w:pos="360"/>
        <w:tab w:val="left" w:pos="840"/>
        <w:tab w:val="right" w:pos="9120"/>
      </w:tabs>
      <w:spacing w:after="0"/>
      <w:rPr>
        <w:rFonts w:ascii="Arial" w:hAnsi="Arial" w:cs="Arial"/>
        <w:spacing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7C748" w14:textId="77777777" w:rsidR="007405D3" w:rsidRDefault="007405D3">
    <w:pPr>
      <w:spacing w:before="2200" w:line="280" w:lineRule="exact"/>
      <w:jc w:val="center"/>
      <w:rPr>
        <w:b/>
        <w:bCs/>
        <w:sz w:val="28"/>
      </w:rPr>
    </w:pPr>
    <w:r>
      <w:rPr>
        <w:b/>
        <w:bCs/>
        <w:sz w:val="28"/>
      </w:rPr>
      <w:t xml:space="preserve"> </w:t>
    </w:r>
  </w:p>
  <w:p w14:paraId="50C4EE05" w14:textId="77777777" w:rsidR="007405D3" w:rsidRDefault="007405D3">
    <w:pPr>
      <w:jc w:val="center"/>
      <w:rPr>
        <w:rFonts w:ascii="Arial" w:hAnsi="Arial" w:cs="Arial"/>
        <w:sz w:val="20"/>
      </w:rPr>
    </w:pPr>
    <w:r>
      <w:rPr>
        <w:rFonts w:ascii="Arial" w:hAnsi="Arial" w:cs="Arial"/>
        <w:sz w:val="20"/>
      </w:rPr>
      <w:t xml:space="preserve"> </w:t>
    </w:r>
  </w:p>
  <w:p w14:paraId="2DEC1FFE" w14:textId="77777777" w:rsidR="007405D3" w:rsidRDefault="007405D3">
    <w:pPr>
      <w:spacing w:after="800"/>
      <w:jc w:val="center"/>
      <w:rPr>
        <w:rFonts w:ascii="Arial" w:hAnsi="Arial" w:cs="Arial"/>
        <w:sz w:val="18"/>
      </w:rPr>
    </w:pPr>
    <w:r>
      <w:rPr>
        <w:rFonts w:ascii="Arial" w:hAnsi="Arial" w:cs="Arial"/>
        <w:sz w:val="20"/>
      </w:rPr>
      <w:t xml:space="preserve"> </w:t>
    </w:r>
  </w:p>
  <w:p w14:paraId="56941582" w14:textId="77777777" w:rsidR="007405D3" w:rsidRDefault="00000000">
    <w:pPr>
      <w:rPr>
        <w:rFonts w:ascii="Helvetica" w:hAnsi="Helvetica"/>
      </w:rPr>
    </w:pPr>
    <w:r>
      <w:rPr>
        <w:noProof/>
        <w:sz w:val="20"/>
      </w:rPr>
      <w:pict w14:anchorId="04D26097">
        <v:line id="_x0000_s1025" style="position:absolute;left:0;text-align:left;z-index:1" from="-1.35pt,7.15pt" to="474.85pt,7.15pt" strokeweight="1.5pt"/>
      </w:pict>
    </w:r>
  </w:p>
  <w:p w14:paraId="0A0A0BF3" w14:textId="77777777" w:rsidR="007405D3" w:rsidRPr="003A7B0B" w:rsidRDefault="007405D3">
    <w:pPr>
      <w:tabs>
        <w:tab w:val="clear" w:pos="1152"/>
        <w:tab w:val="clear" w:pos="2448"/>
        <w:tab w:val="clear" w:pos="8496"/>
        <w:tab w:val="left" w:pos="360"/>
      </w:tabs>
      <w:spacing w:after="0" w:line="360" w:lineRule="exact"/>
      <w:jc w:val="center"/>
      <w:rPr>
        <w:rFonts w:ascii="Arial" w:hAnsi="Arial" w:cs="Arial"/>
        <w:b/>
        <w:sz w:val="32"/>
        <w:szCs w:val="32"/>
      </w:rPr>
    </w:pPr>
    <w:r w:rsidRPr="003A7B0B">
      <w:rPr>
        <w:rFonts w:ascii="Arial" w:hAnsi="Arial" w:cs="Arial"/>
        <w:b/>
        <w:sz w:val="32"/>
        <w:szCs w:val="32"/>
      </w:rPr>
      <w:t>Mandanten-Information für Vereine</w:t>
    </w:r>
  </w:p>
  <w:p w14:paraId="3E791616" w14:textId="77777777" w:rsidR="007405D3" w:rsidRDefault="00000000">
    <w:pPr>
      <w:tabs>
        <w:tab w:val="clear" w:pos="1152"/>
        <w:tab w:val="clear" w:pos="2448"/>
        <w:tab w:val="clear" w:pos="8496"/>
        <w:tab w:val="left" w:pos="360"/>
        <w:tab w:val="left" w:pos="840"/>
        <w:tab w:val="right" w:pos="9120"/>
      </w:tabs>
      <w:spacing w:after="0"/>
      <w:rPr>
        <w:rFonts w:ascii="Helvetica" w:hAnsi="Helvetica"/>
        <w:spacing w:val="-15"/>
        <w:sz w:val="20"/>
      </w:rPr>
    </w:pPr>
    <w:r>
      <w:rPr>
        <w:rFonts w:ascii="Helvetica" w:hAnsi="Helvetica"/>
        <w:noProof/>
        <w:spacing w:val="-15"/>
        <w:sz w:val="20"/>
      </w:rPr>
      <w:pict w14:anchorId="15D032B0">
        <v:line id="_x0000_s1026" style="position:absolute;left:0;text-align:left;z-index:2" from="-1.35pt,7.15pt" to="474.85pt,7.15pt" strokeweight="1.5pt"/>
      </w:pict>
    </w:r>
  </w:p>
  <w:p w14:paraId="4651154C" w14:textId="53EE27C1" w:rsidR="007405D3" w:rsidRDefault="007405D3">
    <w:pPr>
      <w:pStyle w:val="berschrift"/>
      <w:spacing w:before="400" w:after="400"/>
      <w:jc w:val="right"/>
    </w:pPr>
    <w:r>
      <w:t xml:space="preserve">Im </w:t>
    </w:r>
    <w:r w:rsidR="00B612EE">
      <w:t>Febr</w:t>
    </w:r>
    <w:r w:rsidR="008845D6">
      <w:t>uar</w:t>
    </w:r>
    <w:r>
      <w:t xml:space="preserve"> 20</w:t>
    </w:r>
    <w:r w:rsidR="001D64A5">
      <w:t>2</w:t>
    </w:r>
    <w:r w:rsidR="009101AF">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CB153" w14:textId="05834AEB" w:rsidR="007405D3" w:rsidRDefault="007405D3" w:rsidP="00C252B1">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9101AF">
      <w:rPr>
        <w:rFonts w:ascii="Arial" w:hAnsi="Arial" w:cs="Arial"/>
        <w:sz w:val="16"/>
      </w:rPr>
      <w:t>02/24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5C4DB9">
      <w:rPr>
        <w:rFonts w:ascii="Arial" w:hAnsi="Arial" w:cs="Arial"/>
        <w:noProof/>
        <w:sz w:val="16"/>
      </w:rPr>
      <w:t>4</w:t>
    </w:r>
    <w:r>
      <w:rPr>
        <w:rFonts w:ascii="Arial" w:hAnsi="Arial" w:cs="Arial"/>
        <w:sz w:val="16"/>
      </w:rPr>
      <w:fldChar w:fldCharType="end"/>
    </w:r>
  </w:p>
  <w:p w14:paraId="1E7B8F6D" w14:textId="77777777" w:rsidR="007405D3" w:rsidRDefault="007405D3" w:rsidP="00C252B1">
    <w:pPr>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1D959" w14:textId="77777777" w:rsidR="007405D3" w:rsidRDefault="007405D3">
    <w:pPr>
      <w:tabs>
        <w:tab w:val="clear" w:pos="1152"/>
        <w:tab w:val="clear" w:pos="2448"/>
        <w:tab w:val="clear" w:pos="8496"/>
        <w:tab w:val="left" w:pos="360"/>
        <w:tab w:val="left" w:pos="840"/>
        <w:tab w:val="right" w:pos="9120"/>
      </w:tabs>
      <w:spacing w:after="0"/>
      <w:jc w:val="right"/>
      <w:rPr>
        <w:spacing w:val="-15"/>
      </w:rPr>
    </w:pPr>
    <w:r>
      <w:rPr>
        <w:rFonts w:ascii="Helvetica" w:hAnsi="Helvetica"/>
        <w:sz w:val="16"/>
      </w:rPr>
      <w:fldChar w:fldCharType="begin"/>
    </w:r>
    <w:r>
      <w:rPr>
        <w:rFonts w:ascii="Helvetica" w:hAnsi="Helvetica"/>
        <w:sz w:val="16"/>
      </w:rPr>
      <w:fldChar w:fldCharType="separate"/>
    </w:r>
    <w:r>
      <w:rPr>
        <w:rFonts w:ascii="Helvetica" w:hAnsi="Helvetica"/>
        <w:noProof/>
        <w:sz w:val="16"/>
      </w:rPr>
      <w:t>5</w:t>
    </w:r>
    <w:r>
      <w:rPr>
        <w:rFonts w:ascii="Helvetica" w:hAnsi="Helvetica"/>
        <w:sz w:val="16"/>
      </w:rPr>
      <w:fldChar w:fldCharType="end"/>
    </w:r>
  </w:p>
  <w:p w14:paraId="0ACBFA16" w14:textId="77777777" w:rsidR="007405D3" w:rsidRDefault="007405D3">
    <w:pPr>
      <w:pStyle w:val="Fuzeile"/>
      <w:tabs>
        <w:tab w:val="clear" w:pos="4536"/>
        <w:tab w:val="clear" w:pos="9072"/>
        <w:tab w:val="left" w:pos="1152"/>
        <w:tab w:val="left" w:pos="2448"/>
        <w:tab w:val="right" w:pos="8496"/>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A06EEE"/>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1A6851DA"/>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3228776"/>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E908895C"/>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99DE75F2"/>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98CC63C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196579"/>
    <w:multiLevelType w:val="hybridMultilevel"/>
    <w:tmpl w:val="236661B4"/>
    <w:lvl w:ilvl="0" w:tplc="F25428FE">
      <w:start w:val="1"/>
      <w:numFmt w:val="bullet"/>
      <w:pStyle w:val="Aufzhlung"/>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4D652B"/>
    <w:multiLevelType w:val="hybridMultilevel"/>
    <w:tmpl w:val="B9AA5732"/>
    <w:lvl w:ilvl="0" w:tplc="083A1360">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DE442B"/>
    <w:multiLevelType w:val="hybridMultilevel"/>
    <w:tmpl w:val="F49EFF1C"/>
    <w:lvl w:ilvl="0" w:tplc="A53EB3AE">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676CA7"/>
    <w:multiLevelType w:val="hybridMultilevel"/>
    <w:tmpl w:val="2090C0BA"/>
    <w:lvl w:ilvl="0" w:tplc="29AACF00">
      <w:start w:val="1"/>
      <w:numFmt w:val="bullet"/>
      <w:lvlText w:val=""/>
      <w:lvlJc w:val="left"/>
      <w:pPr>
        <w:tabs>
          <w:tab w:val="num" w:pos="567"/>
        </w:tabs>
        <w:ind w:left="567"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5266DF"/>
    <w:multiLevelType w:val="singleLevel"/>
    <w:tmpl w:val="1C96EADC"/>
    <w:lvl w:ilvl="0">
      <w:start w:val="1"/>
      <w:numFmt w:val="bullet"/>
      <w:lvlText w:val="-"/>
      <w:lvlJc w:val="left"/>
      <w:pPr>
        <w:tabs>
          <w:tab w:val="num" w:pos="709"/>
        </w:tabs>
        <w:ind w:left="709" w:hanging="709"/>
      </w:pPr>
    </w:lvl>
  </w:abstractNum>
  <w:abstractNum w:abstractNumId="11" w15:restartNumberingAfterBreak="0">
    <w:nsid w:val="4FDB5C92"/>
    <w:multiLevelType w:val="hybridMultilevel"/>
    <w:tmpl w:val="0502821E"/>
    <w:lvl w:ilvl="0" w:tplc="52B0C0CC">
      <w:start w:val="1"/>
      <w:numFmt w:val="decimal"/>
      <w:pStyle w:val="Fundstelle"/>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5955632F"/>
    <w:multiLevelType w:val="hybridMultilevel"/>
    <w:tmpl w:val="4D5C24F4"/>
    <w:lvl w:ilvl="0" w:tplc="EE085756">
      <w:start w:val="1"/>
      <w:numFmt w:val="bullet"/>
      <w:pStyle w:val="Verzeichnis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AD6325"/>
    <w:multiLevelType w:val="hybridMultilevel"/>
    <w:tmpl w:val="9B1276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7DC968A8"/>
    <w:multiLevelType w:val="hybridMultilevel"/>
    <w:tmpl w:val="976EC0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611740104">
    <w:abstractNumId w:val="4"/>
  </w:num>
  <w:num w:numId="2" w16cid:durableId="2107846271">
    <w:abstractNumId w:val="0"/>
  </w:num>
  <w:num w:numId="3" w16cid:durableId="245965341">
    <w:abstractNumId w:val="6"/>
  </w:num>
  <w:num w:numId="4" w16cid:durableId="1552422426">
    <w:abstractNumId w:val="12"/>
  </w:num>
  <w:num w:numId="5" w16cid:durableId="184104443">
    <w:abstractNumId w:val="10"/>
  </w:num>
  <w:num w:numId="6" w16cid:durableId="1211577199">
    <w:abstractNumId w:val="9"/>
  </w:num>
  <w:num w:numId="7" w16cid:durableId="163782082">
    <w:abstractNumId w:val="7"/>
  </w:num>
  <w:num w:numId="8" w16cid:durableId="2137522796">
    <w:abstractNumId w:val="11"/>
  </w:num>
  <w:num w:numId="9" w16cid:durableId="1126238339">
    <w:abstractNumId w:val="8"/>
  </w:num>
  <w:num w:numId="10" w16cid:durableId="255944354">
    <w:abstractNumId w:val="13"/>
  </w:num>
  <w:num w:numId="11" w16cid:durableId="1778409560">
    <w:abstractNumId w:val="14"/>
  </w:num>
  <w:num w:numId="12" w16cid:durableId="834608427">
    <w:abstractNumId w:val="5"/>
  </w:num>
  <w:num w:numId="13" w16cid:durableId="1996840330">
    <w:abstractNumId w:val="3"/>
  </w:num>
  <w:num w:numId="14" w16cid:durableId="1119302747">
    <w:abstractNumId w:val="2"/>
  </w:num>
  <w:num w:numId="15" w16cid:durableId="17338928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8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114">
      <o:colormru v:ext="edit" colors="#b2b2b2,#ddd"/>
    </o:shapedefaults>
    <o:shapelayout v:ext="edit">
      <o:idmap v:ext="edit" data="1"/>
    </o:shapelayout>
  </w:hdrShapeDefault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434A"/>
    <w:rsid w:val="00015BA7"/>
    <w:rsid w:val="000314B3"/>
    <w:rsid w:val="00034226"/>
    <w:rsid w:val="00042ACA"/>
    <w:rsid w:val="00042E55"/>
    <w:rsid w:val="00045454"/>
    <w:rsid w:val="00054866"/>
    <w:rsid w:val="00054A44"/>
    <w:rsid w:val="000566E3"/>
    <w:rsid w:val="0006452E"/>
    <w:rsid w:val="000713BE"/>
    <w:rsid w:val="0007255F"/>
    <w:rsid w:val="00087BC0"/>
    <w:rsid w:val="00091BF3"/>
    <w:rsid w:val="00096A72"/>
    <w:rsid w:val="000A0D25"/>
    <w:rsid w:val="000A5639"/>
    <w:rsid w:val="000A6578"/>
    <w:rsid w:val="000B1357"/>
    <w:rsid w:val="000C1754"/>
    <w:rsid w:val="000C500B"/>
    <w:rsid w:val="000E2133"/>
    <w:rsid w:val="000E3A34"/>
    <w:rsid w:val="000E4C43"/>
    <w:rsid w:val="000F1DD4"/>
    <w:rsid w:val="000F36CA"/>
    <w:rsid w:val="000F635D"/>
    <w:rsid w:val="00103D2C"/>
    <w:rsid w:val="00110630"/>
    <w:rsid w:val="00114565"/>
    <w:rsid w:val="00121767"/>
    <w:rsid w:val="00122810"/>
    <w:rsid w:val="0014281F"/>
    <w:rsid w:val="00154B3C"/>
    <w:rsid w:val="0015636D"/>
    <w:rsid w:val="00156B44"/>
    <w:rsid w:val="0016520B"/>
    <w:rsid w:val="001715AA"/>
    <w:rsid w:val="00176DD1"/>
    <w:rsid w:val="0018167A"/>
    <w:rsid w:val="001870DA"/>
    <w:rsid w:val="00187182"/>
    <w:rsid w:val="00187547"/>
    <w:rsid w:val="0019245E"/>
    <w:rsid w:val="001938BF"/>
    <w:rsid w:val="001951EE"/>
    <w:rsid w:val="00197B9B"/>
    <w:rsid w:val="001A40A0"/>
    <w:rsid w:val="001B4BDD"/>
    <w:rsid w:val="001B6254"/>
    <w:rsid w:val="001C2EC7"/>
    <w:rsid w:val="001C65DD"/>
    <w:rsid w:val="001D292E"/>
    <w:rsid w:val="001D64A5"/>
    <w:rsid w:val="001D7F36"/>
    <w:rsid w:val="001E242A"/>
    <w:rsid w:val="001E6D86"/>
    <w:rsid w:val="001F17D4"/>
    <w:rsid w:val="001F2EAB"/>
    <w:rsid w:val="001F6CF3"/>
    <w:rsid w:val="002129B3"/>
    <w:rsid w:val="00212AAC"/>
    <w:rsid w:val="00233778"/>
    <w:rsid w:val="00234822"/>
    <w:rsid w:val="00247FE7"/>
    <w:rsid w:val="002519B4"/>
    <w:rsid w:val="00255035"/>
    <w:rsid w:val="00257660"/>
    <w:rsid w:val="0026236F"/>
    <w:rsid w:val="00266168"/>
    <w:rsid w:val="00272BD2"/>
    <w:rsid w:val="00273BAA"/>
    <w:rsid w:val="002801D0"/>
    <w:rsid w:val="002B3DC7"/>
    <w:rsid w:val="002B52E0"/>
    <w:rsid w:val="002C0E16"/>
    <w:rsid w:val="002C5A18"/>
    <w:rsid w:val="00310B9B"/>
    <w:rsid w:val="003154AF"/>
    <w:rsid w:val="0032752A"/>
    <w:rsid w:val="003407DC"/>
    <w:rsid w:val="00341813"/>
    <w:rsid w:val="003419DE"/>
    <w:rsid w:val="00343848"/>
    <w:rsid w:val="00343F5D"/>
    <w:rsid w:val="00354843"/>
    <w:rsid w:val="00356359"/>
    <w:rsid w:val="003564AC"/>
    <w:rsid w:val="0035769F"/>
    <w:rsid w:val="003635C0"/>
    <w:rsid w:val="003716C9"/>
    <w:rsid w:val="003761BB"/>
    <w:rsid w:val="003A2E7E"/>
    <w:rsid w:val="003A3195"/>
    <w:rsid w:val="003A332B"/>
    <w:rsid w:val="003A7B0B"/>
    <w:rsid w:val="003B1070"/>
    <w:rsid w:val="003B3753"/>
    <w:rsid w:val="003D78E6"/>
    <w:rsid w:val="003E47DC"/>
    <w:rsid w:val="003F39FE"/>
    <w:rsid w:val="004013F0"/>
    <w:rsid w:val="004033A4"/>
    <w:rsid w:val="0040351D"/>
    <w:rsid w:val="0040635D"/>
    <w:rsid w:val="00410A67"/>
    <w:rsid w:val="00410DD9"/>
    <w:rsid w:val="0042023E"/>
    <w:rsid w:val="00421A7C"/>
    <w:rsid w:val="004574D1"/>
    <w:rsid w:val="00460FDB"/>
    <w:rsid w:val="00463354"/>
    <w:rsid w:val="00472C27"/>
    <w:rsid w:val="00474D2A"/>
    <w:rsid w:val="00475D63"/>
    <w:rsid w:val="00484A68"/>
    <w:rsid w:val="004930AD"/>
    <w:rsid w:val="00496367"/>
    <w:rsid w:val="004B002A"/>
    <w:rsid w:val="004B3290"/>
    <w:rsid w:val="004B5C7A"/>
    <w:rsid w:val="004C2225"/>
    <w:rsid w:val="004D19D6"/>
    <w:rsid w:val="004E3DC1"/>
    <w:rsid w:val="0050264A"/>
    <w:rsid w:val="005033A1"/>
    <w:rsid w:val="00510A04"/>
    <w:rsid w:val="00525E37"/>
    <w:rsid w:val="00526709"/>
    <w:rsid w:val="00526A52"/>
    <w:rsid w:val="0053638D"/>
    <w:rsid w:val="005365ED"/>
    <w:rsid w:val="00537958"/>
    <w:rsid w:val="005408E4"/>
    <w:rsid w:val="00542BE2"/>
    <w:rsid w:val="00550B87"/>
    <w:rsid w:val="005559D7"/>
    <w:rsid w:val="0056591A"/>
    <w:rsid w:val="00575FD2"/>
    <w:rsid w:val="0059675F"/>
    <w:rsid w:val="005A0151"/>
    <w:rsid w:val="005A1926"/>
    <w:rsid w:val="005A434A"/>
    <w:rsid w:val="005B1FCA"/>
    <w:rsid w:val="005B332F"/>
    <w:rsid w:val="005B7563"/>
    <w:rsid w:val="005C415F"/>
    <w:rsid w:val="005C4DB9"/>
    <w:rsid w:val="005E6751"/>
    <w:rsid w:val="005F21BA"/>
    <w:rsid w:val="006007F0"/>
    <w:rsid w:val="0060111E"/>
    <w:rsid w:val="00617DA1"/>
    <w:rsid w:val="00624DE6"/>
    <w:rsid w:val="00625D11"/>
    <w:rsid w:val="00626647"/>
    <w:rsid w:val="0062751C"/>
    <w:rsid w:val="006313F3"/>
    <w:rsid w:val="00634712"/>
    <w:rsid w:val="00634E25"/>
    <w:rsid w:val="006358B2"/>
    <w:rsid w:val="00637502"/>
    <w:rsid w:val="0063787F"/>
    <w:rsid w:val="00647EE1"/>
    <w:rsid w:val="006523CF"/>
    <w:rsid w:val="006540F8"/>
    <w:rsid w:val="0065618E"/>
    <w:rsid w:val="0066036F"/>
    <w:rsid w:val="0066150A"/>
    <w:rsid w:val="00663570"/>
    <w:rsid w:val="0066357B"/>
    <w:rsid w:val="0067274E"/>
    <w:rsid w:val="00672BE7"/>
    <w:rsid w:val="006739C6"/>
    <w:rsid w:val="00675E00"/>
    <w:rsid w:val="0067705A"/>
    <w:rsid w:val="00681DCD"/>
    <w:rsid w:val="006849CA"/>
    <w:rsid w:val="00694E20"/>
    <w:rsid w:val="00695602"/>
    <w:rsid w:val="006A3BF4"/>
    <w:rsid w:val="006B4DE0"/>
    <w:rsid w:val="006B5268"/>
    <w:rsid w:val="006B6197"/>
    <w:rsid w:val="006C15EA"/>
    <w:rsid w:val="006C3BE1"/>
    <w:rsid w:val="006D2AB4"/>
    <w:rsid w:val="006E18BF"/>
    <w:rsid w:val="006E4A10"/>
    <w:rsid w:val="006E66ED"/>
    <w:rsid w:val="006E7884"/>
    <w:rsid w:val="006F12A7"/>
    <w:rsid w:val="006F582E"/>
    <w:rsid w:val="00701697"/>
    <w:rsid w:val="007018BB"/>
    <w:rsid w:val="00703E54"/>
    <w:rsid w:val="0071270B"/>
    <w:rsid w:val="00714BF2"/>
    <w:rsid w:val="00720E0D"/>
    <w:rsid w:val="007221D4"/>
    <w:rsid w:val="00727E21"/>
    <w:rsid w:val="00732885"/>
    <w:rsid w:val="007405D3"/>
    <w:rsid w:val="00745C95"/>
    <w:rsid w:val="00767062"/>
    <w:rsid w:val="00770967"/>
    <w:rsid w:val="00774F32"/>
    <w:rsid w:val="007815E8"/>
    <w:rsid w:val="00781A8B"/>
    <w:rsid w:val="007840C2"/>
    <w:rsid w:val="00786E08"/>
    <w:rsid w:val="007943CA"/>
    <w:rsid w:val="007A0934"/>
    <w:rsid w:val="007B6333"/>
    <w:rsid w:val="007C0F87"/>
    <w:rsid w:val="007C5334"/>
    <w:rsid w:val="007D3EDE"/>
    <w:rsid w:val="007D3F68"/>
    <w:rsid w:val="007F2D2F"/>
    <w:rsid w:val="007F4B56"/>
    <w:rsid w:val="008012AC"/>
    <w:rsid w:val="00821150"/>
    <w:rsid w:val="00822B21"/>
    <w:rsid w:val="00824623"/>
    <w:rsid w:val="00824889"/>
    <w:rsid w:val="008249F4"/>
    <w:rsid w:val="008261C4"/>
    <w:rsid w:val="00836E69"/>
    <w:rsid w:val="00842DC9"/>
    <w:rsid w:val="008442EF"/>
    <w:rsid w:val="00852655"/>
    <w:rsid w:val="00855885"/>
    <w:rsid w:val="008657F6"/>
    <w:rsid w:val="008845D6"/>
    <w:rsid w:val="00891E49"/>
    <w:rsid w:val="0089513B"/>
    <w:rsid w:val="00896A0F"/>
    <w:rsid w:val="008A0FE3"/>
    <w:rsid w:val="008A35AF"/>
    <w:rsid w:val="008A48F2"/>
    <w:rsid w:val="008B4B49"/>
    <w:rsid w:val="008B56B0"/>
    <w:rsid w:val="008B779D"/>
    <w:rsid w:val="008C108F"/>
    <w:rsid w:val="008C3D7C"/>
    <w:rsid w:val="008C5D99"/>
    <w:rsid w:val="008C6837"/>
    <w:rsid w:val="008D1FDF"/>
    <w:rsid w:val="008E6369"/>
    <w:rsid w:val="008E642D"/>
    <w:rsid w:val="008F173C"/>
    <w:rsid w:val="008F2008"/>
    <w:rsid w:val="008F47BE"/>
    <w:rsid w:val="008F72FB"/>
    <w:rsid w:val="00905991"/>
    <w:rsid w:val="00906596"/>
    <w:rsid w:val="009101AF"/>
    <w:rsid w:val="00922E07"/>
    <w:rsid w:val="0094521F"/>
    <w:rsid w:val="009502AC"/>
    <w:rsid w:val="00957D0C"/>
    <w:rsid w:val="00965E73"/>
    <w:rsid w:val="00966E5E"/>
    <w:rsid w:val="00971868"/>
    <w:rsid w:val="00972AD9"/>
    <w:rsid w:val="009769D9"/>
    <w:rsid w:val="00977A94"/>
    <w:rsid w:val="00982098"/>
    <w:rsid w:val="00995E72"/>
    <w:rsid w:val="009B516A"/>
    <w:rsid w:val="009B5D50"/>
    <w:rsid w:val="009B7829"/>
    <w:rsid w:val="009D1D79"/>
    <w:rsid w:val="009D544D"/>
    <w:rsid w:val="009D549C"/>
    <w:rsid w:val="009E3C53"/>
    <w:rsid w:val="009E6465"/>
    <w:rsid w:val="00A0127B"/>
    <w:rsid w:val="00A02005"/>
    <w:rsid w:val="00A02148"/>
    <w:rsid w:val="00A058A8"/>
    <w:rsid w:val="00A133F1"/>
    <w:rsid w:val="00A13617"/>
    <w:rsid w:val="00A156FE"/>
    <w:rsid w:val="00A3623D"/>
    <w:rsid w:val="00A36724"/>
    <w:rsid w:val="00A3740F"/>
    <w:rsid w:val="00A52076"/>
    <w:rsid w:val="00A653CC"/>
    <w:rsid w:val="00A73EF9"/>
    <w:rsid w:val="00A7742D"/>
    <w:rsid w:val="00A8648B"/>
    <w:rsid w:val="00A97F44"/>
    <w:rsid w:val="00AB3063"/>
    <w:rsid w:val="00AB4686"/>
    <w:rsid w:val="00AC05D0"/>
    <w:rsid w:val="00AC62FF"/>
    <w:rsid w:val="00AC645E"/>
    <w:rsid w:val="00AD3220"/>
    <w:rsid w:val="00AD3F24"/>
    <w:rsid w:val="00AD7AE2"/>
    <w:rsid w:val="00AE17F2"/>
    <w:rsid w:val="00AF12DA"/>
    <w:rsid w:val="00B02E3C"/>
    <w:rsid w:val="00B13277"/>
    <w:rsid w:val="00B1424A"/>
    <w:rsid w:val="00B14536"/>
    <w:rsid w:val="00B1738A"/>
    <w:rsid w:val="00B21FDF"/>
    <w:rsid w:val="00B3075F"/>
    <w:rsid w:val="00B30815"/>
    <w:rsid w:val="00B33C93"/>
    <w:rsid w:val="00B37171"/>
    <w:rsid w:val="00B378D3"/>
    <w:rsid w:val="00B412D0"/>
    <w:rsid w:val="00B52EC1"/>
    <w:rsid w:val="00B612EE"/>
    <w:rsid w:val="00B625D1"/>
    <w:rsid w:val="00B712C9"/>
    <w:rsid w:val="00B724DA"/>
    <w:rsid w:val="00B75719"/>
    <w:rsid w:val="00B80353"/>
    <w:rsid w:val="00B858B5"/>
    <w:rsid w:val="00B9118C"/>
    <w:rsid w:val="00B9234C"/>
    <w:rsid w:val="00B95932"/>
    <w:rsid w:val="00B97896"/>
    <w:rsid w:val="00BA138A"/>
    <w:rsid w:val="00BA27FF"/>
    <w:rsid w:val="00BC1AA2"/>
    <w:rsid w:val="00BE1449"/>
    <w:rsid w:val="00BE1C55"/>
    <w:rsid w:val="00BE31C5"/>
    <w:rsid w:val="00C21A51"/>
    <w:rsid w:val="00C22ACF"/>
    <w:rsid w:val="00C24EE3"/>
    <w:rsid w:val="00C252B1"/>
    <w:rsid w:val="00C32CA9"/>
    <w:rsid w:val="00C333DE"/>
    <w:rsid w:val="00C354EB"/>
    <w:rsid w:val="00C534B6"/>
    <w:rsid w:val="00C61604"/>
    <w:rsid w:val="00C64CAD"/>
    <w:rsid w:val="00C71B3E"/>
    <w:rsid w:val="00C73662"/>
    <w:rsid w:val="00C74757"/>
    <w:rsid w:val="00C7774E"/>
    <w:rsid w:val="00C77E44"/>
    <w:rsid w:val="00C82BB3"/>
    <w:rsid w:val="00C85170"/>
    <w:rsid w:val="00C8658C"/>
    <w:rsid w:val="00CB0397"/>
    <w:rsid w:val="00CB4D3F"/>
    <w:rsid w:val="00CB704F"/>
    <w:rsid w:val="00CC4564"/>
    <w:rsid w:val="00CE2831"/>
    <w:rsid w:val="00CE32B8"/>
    <w:rsid w:val="00CF0DB3"/>
    <w:rsid w:val="00D022FC"/>
    <w:rsid w:val="00D04974"/>
    <w:rsid w:val="00D06B1E"/>
    <w:rsid w:val="00D10805"/>
    <w:rsid w:val="00D24518"/>
    <w:rsid w:val="00D45592"/>
    <w:rsid w:val="00D52519"/>
    <w:rsid w:val="00D54127"/>
    <w:rsid w:val="00D55237"/>
    <w:rsid w:val="00D70211"/>
    <w:rsid w:val="00D70FE7"/>
    <w:rsid w:val="00D71A0B"/>
    <w:rsid w:val="00D727E1"/>
    <w:rsid w:val="00D7703C"/>
    <w:rsid w:val="00D83FC5"/>
    <w:rsid w:val="00D9287C"/>
    <w:rsid w:val="00D94A15"/>
    <w:rsid w:val="00DA6229"/>
    <w:rsid w:val="00DB6459"/>
    <w:rsid w:val="00DC132E"/>
    <w:rsid w:val="00DD0E4A"/>
    <w:rsid w:val="00DD128B"/>
    <w:rsid w:val="00DD2B45"/>
    <w:rsid w:val="00DE1F5F"/>
    <w:rsid w:val="00DF1818"/>
    <w:rsid w:val="00DF2CC8"/>
    <w:rsid w:val="00DF3012"/>
    <w:rsid w:val="00DF3812"/>
    <w:rsid w:val="00E01815"/>
    <w:rsid w:val="00E04742"/>
    <w:rsid w:val="00E23869"/>
    <w:rsid w:val="00E25C6C"/>
    <w:rsid w:val="00E31954"/>
    <w:rsid w:val="00E43F2D"/>
    <w:rsid w:val="00E47FBD"/>
    <w:rsid w:val="00E5583E"/>
    <w:rsid w:val="00E56831"/>
    <w:rsid w:val="00E569F4"/>
    <w:rsid w:val="00E607E4"/>
    <w:rsid w:val="00E67798"/>
    <w:rsid w:val="00E67EDC"/>
    <w:rsid w:val="00E82C62"/>
    <w:rsid w:val="00E83C2D"/>
    <w:rsid w:val="00EB3EDA"/>
    <w:rsid w:val="00EB7484"/>
    <w:rsid w:val="00EC41C9"/>
    <w:rsid w:val="00EE574A"/>
    <w:rsid w:val="00EF085F"/>
    <w:rsid w:val="00EF42FB"/>
    <w:rsid w:val="00EF6A8F"/>
    <w:rsid w:val="00F03B37"/>
    <w:rsid w:val="00F21241"/>
    <w:rsid w:val="00F22D80"/>
    <w:rsid w:val="00F276E7"/>
    <w:rsid w:val="00F342A7"/>
    <w:rsid w:val="00F36BAE"/>
    <w:rsid w:val="00F622E4"/>
    <w:rsid w:val="00F623E5"/>
    <w:rsid w:val="00F7259F"/>
    <w:rsid w:val="00F80A5B"/>
    <w:rsid w:val="00F91DB6"/>
    <w:rsid w:val="00F91FB1"/>
    <w:rsid w:val="00F9436C"/>
    <w:rsid w:val="00F97768"/>
    <w:rsid w:val="00FA3A9D"/>
    <w:rsid w:val="00FA7EAF"/>
    <w:rsid w:val="00FB02E0"/>
    <w:rsid w:val="00FB1209"/>
    <w:rsid w:val="00FD31EE"/>
    <w:rsid w:val="00FD6C18"/>
    <w:rsid w:val="00FE1235"/>
    <w:rsid w:val="00FE3171"/>
    <w:rsid w:val="00FE7BCF"/>
  </w:rsids>
  <m:mathPr>
    <m:mathFont m:val="Cambria Math"/>
    <m:brkBin m:val="before"/>
    <m:brkBinSub m:val="--"/>
    <m:smallFrac m:val="0"/>
    <m:dispDef/>
    <m:lMargin m:val="0"/>
    <m:rMargin m:val="0"/>
    <m:defJc m:val="centerGroup"/>
    <m:wrapIndent m:val="1440"/>
    <m:intLim m:val="subSup"/>
    <m:naryLim m:val="undOvr"/>
  </m:mathPr>
  <w:attachedSchema w:val="http://www.linkwerk.com/namespaces/xslt/misc"/>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4">
      <o:colormru v:ext="edit" colors="#b2b2b2,#ddd"/>
    </o:shapedefaults>
    <o:shapelayout v:ext="edit">
      <o:idmap v:ext="edit" data="2"/>
    </o:shapelayout>
  </w:shapeDefaults>
  <w:decimalSymbol w:val=","/>
  <w:listSeparator w:val=";"/>
  <w14:docId w14:val="535A015A"/>
  <w15:docId w15:val="{7A8910A9-A8E8-4D82-940E-DE7CC9F52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58A8"/>
    <w:pPr>
      <w:widowControl w:val="0"/>
      <w:tabs>
        <w:tab w:val="left" w:pos="1152"/>
        <w:tab w:val="left" w:pos="2448"/>
        <w:tab w:val="right" w:pos="8496"/>
      </w:tabs>
      <w:overflowPunct w:val="0"/>
      <w:autoSpaceDE w:val="0"/>
      <w:autoSpaceDN w:val="0"/>
      <w:adjustRightInd w:val="0"/>
      <w:spacing w:after="160" w:line="240" w:lineRule="exact"/>
      <w:jc w:val="both"/>
      <w:textAlignment w:val="baseline"/>
    </w:pPr>
    <w:rPr>
      <w:sz w:val="22"/>
    </w:rPr>
  </w:style>
  <w:style w:type="paragraph" w:styleId="berschrift1">
    <w:name w:val="heading 1"/>
    <w:basedOn w:val="Standard"/>
    <w:next w:val="Standard"/>
    <w:link w:val="berschrift1Zchn"/>
    <w:qFormat/>
    <w:rsid w:val="00A058A8"/>
    <w:pPr>
      <w:keepNext/>
      <w:tabs>
        <w:tab w:val="clear" w:pos="1152"/>
        <w:tab w:val="clear" w:pos="2448"/>
        <w:tab w:val="clear" w:pos="8496"/>
        <w:tab w:val="left" w:pos="714"/>
      </w:tabs>
      <w:spacing w:before="120" w:after="120" w:line="250" w:lineRule="exact"/>
      <w:jc w:val="left"/>
      <w:outlineLvl w:val="0"/>
    </w:pPr>
    <w:rPr>
      <w:rFonts w:ascii="Arial" w:hAnsi="Arial"/>
      <w:b/>
      <w:kern w:val="28"/>
      <w:sz w:val="23"/>
    </w:rPr>
  </w:style>
  <w:style w:type="paragraph" w:styleId="berschrift2">
    <w:name w:val="heading 2"/>
    <w:basedOn w:val="Standard"/>
    <w:next w:val="Standard"/>
    <w:link w:val="berschrift2Zchn"/>
    <w:qFormat/>
    <w:rsid w:val="00A058A8"/>
    <w:pPr>
      <w:tabs>
        <w:tab w:val="clear" w:pos="1152"/>
        <w:tab w:val="clear" w:pos="2448"/>
        <w:tab w:val="clear" w:pos="8496"/>
        <w:tab w:val="right" w:pos="4366"/>
      </w:tabs>
      <w:spacing w:before="400" w:after="120" w:line="210" w:lineRule="exact"/>
      <w:outlineLvl w:val="1"/>
    </w:pPr>
    <w:rPr>
      <w:rFonts w:ascii="Arial" w:hAnsi="Arial"/>
      <w:sz w:val="19"/>
      <w:u w:val="single"/>
    </w:rPr>
  </w:style>
  <w:style w:type="paragraph" w:styleId="berschrift3">
    <w:name w:val="heading 3"/>
    <w:basedOn w:val="Standard"/>
    <w:next w:val="Standardeinzug"/>
    <w:qFormat/>
    <w:rsid w:val="00A058A8"/>
    <w:pPr>
      <w:ind w:left="354"/>
      <w:outlineLvl w:val="2"/>
    </w:pPr>
    <w:rPr>
      <w:b/>
    </w:rPr>
  </w:style>
  <w:style w:type="paragraph" w:styleId="berschrift4">
    <w:name w:val="heading 4"/>
    <w:basedOn w:val="Standard"/>
    <w:next w:val="Standardeinzug"/>
    <w:qFormat/>
    <w:rsid w:val="00A058A8"/>
    <w:pPr>
      <w:ind w:left="354"/>
      <w:outlineLvl w:val="3"/>
    </w:pPr>
    <w:rPr>
      <w:u w:val="single"/>
    </w:rPr>
  </w:style>
  <w:style w:type="paragraph" w:styleId="berschrift5">
    <w:name w:val="heading 5"/>
    <w:basedOn w:val="Standard"/>
    <w:next w:val="Standard"/>
    <w:qFormat/>
    <w:rsid w:val="00A058A8"/>
    <w:pPr>
      <w:keepNext/>
      <w:spacing w:after="116"/>
      <w:jc w:val="right"/>
      <w:outlineLvl w:val="4"/>
    </w:pPr>
    <w:rPr>
      <w:b/>
    </w:rPr>
  </w:style>
  <w:style w:type="paragraph" w:styleId="berschrift6">
    <w:name w:val="heading 6"/>
    <w:basedOn w:val="Standard"/>
    <w:next w:val="Standard"/>
    <w:qFormat/>
    <w:rsid w:val="00A058A8"/>
    <w:pPr>
      <w:tabs>
        <w:tab w:val="clear" w:pos="1152"/>
        <w:tab w:val="clear" w:pos="2448"/>
        <w:tab w:val="clear" w:pos="8496"/>
      </w:tabs>
      <w:spacing w:before="240" w:after="60"/>
      <w:outlineLvl w:val="5"/>
    </w:pPr>
    <w:rPr>
      <w:rFonts w:ascii="Arial" w:hAnsi="Arial"/>
      <w:i/>
    </w:rPr>
  </w:style>
  <w:style w:type="paragraph" w:styleId="berschrift7">
    <w:name w:val="heading 7"/>
    <w:basedOn w:val="Standard"/>
    <w:next w:val="Standard"/>
    <w:qFormat/>
    <w:rsid w:val="00A058A8"/>
    <w:pPr>
      <w:tabs>
        <w:tab w:val="clear" w:pos="1152"/>
        <w:tab w:val="clear" w:pos="2448"/>
        <w:tab w:val="clear" w:pos="8496"/>
      </w:tabs>
      <w:spacing w:before="240" w:after="60"/>
      <w:outlineLvl w:val="6"/>
    </w:pPr>
    <w:rPr>
      <w:rFonts w:ascii="Arial" w:hAnsi="Arial"/>
      <w:sz w:val="20"/>
    </w:rPr>
  </w:style>
  <w:style w:type="paragraph" w:styleId="berschrift8">
    <w:name w:val="heading 8"/>
    <w:basedOn w:val="Standard"/>
    <w:next w:val="Standard"/>
    <w:qFormat/>
    <w:rsid w:val="00A058A8"/>
    <w:pPr>
      <w:tabs>
        <w:tab w:val="clear" w:pos="1152"/>
        <w:tab w:val="clear" w:pos="2448"/>
        <w:tab w:val="clear" w:pos="8496"/>
      </w:tabs>
      <w:spacing w:before="240" w:after="60"/>
      <w:outlineLvl w:val="7"/>
    </w:pPr>
    <w:rPr>
      <w:rFonts w:ascii="Arial" w:hAnsi="Arial"/>
      <w:i/>
      <w:sz w:val="20"/>
    </w:rPr>
  </w:style>
  <w:style w:type="paragraph" w:styleId="berschrift9">
    <w:name w:val="heading 9"/>
    <w:basedOn w:val="Standard"/>
    <w:next w:val="Standard"/>
    <w:qFormat/>
    <w:rsid w:val="00A058A8"/>
    <w:pPr>
      <w:tabs>
        <w:tab w:val="clear" w:pos="1152"/>
        <w:tab w:val="clear" w:pos="2448"/>
        <w:tab w:val="clear" w:pos="8496"/>
      </w:tabs>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rsid w:val="00A058A8"/>
    <w:pPr>
      <w:tabs>
        <w:tab w:val="clear" w:pos="1152"/>
        <w:tab w:val="clear" w:pos="2448"/>
        <w:tab w:val="clear" w:pos="8496"/>
        <w:tab w:val="left" w:pos="567"/>
      </w:tabs>
      <w:ind w:left="567" w:hanging="567"/>
    </w:pPr>
  </w:style>
  <w:style w:type="paragraph" w:customStyle="1" w:styleId="berschrift">
    <w:name w:val="Überschrift"/>
    <w:rsid w:val="00A058A8"/>
    <w:pPr>
      <w:widowControl w:val="0"/>
      <w:tabs>
        <w:tab w:val="left" w:pos="714"/>
      </w:tabs>
      <w:overflowPunct w:val="0"/>
      <w:autoSpaceDE w:val="0"/>
      <w:autoSpaceDN w:val="0"/>
      <w:adjustRightInd w:val="0"/>
      <w:spacing w:after="120" w:line="250" w:lineRule="exact"/>
      <w:textAlignment w:val="baseline"/>
    </w:pPr>
    <w:rPr>
      <w:rFonts w:ascii="Arial" w:hAnsi="Arial"/>
      <w:b/>
      <w:sz w:val="23"/>
    </w:rPr>
  </w:style>
  <w:style w:type="paragraph" w:styleId="Verzeichnis1">
    <w:name w:val="toc 1"/>
    <w:basedOn w:val="Standard"/>
    <w:next w:val="Standard"/>
    <w:semiHidden/>
    <w:rsid w:val="00A058A8"/>
    <w:pPr>
      <w:numPr>
        <w:numId w:val="4"/>
      </w:numPr>
      <w:tabs>
        <w:tab w:val="clear" w:pos="1152"/>
        <w:tab w:val="clear" w:pos="2448"/>
        <w:tab w:val="clear" w:pos="8496"/>
        <w:tab w:val="left" w:pos="567"/>
        <w:tab w:val="right" w:leader="dot" w:pos="4253"/>
      </w:tabs>
      <w:spacing w:after="40" w:line="180" w:lineRule="exact"/>
      <w:ind w:left="357" w:hanging="357"/>
      <w:jc w:val="left"/>
    </w:pPr>
    <w:rPr>
      <w:rFonts w:ascii="Arial" w:hAnsi="Arial"/>
      <w:sz w:val="16"/>
    </w:rPr>
  </w:style>
  <w:style w:type="paragraph" w:customStyle="1" w:styleId="Aufzhlung">
    <w:name w:val="Aufzählung"/>
    <w:basedOn w:val="Standardeinzug"/>
    <w:link w:val="AufzhlungChar"/>
    <w:rsid w:val="00A058A8"/>
    <w:pPr>
      <w:numPr>
        <w:numId w:val="3"/>
      </w:numPr>
      <w:tabs>
        <w:tab w:val="clear" w:pos="360"/>
        <w:tab w:val="clear" w:pos="567"/>
        <w:tab w:val="left" w:pos="284"/>
      </w:tabs>
      <w:ind w:left="284" w:hanging="284"/>
    </w:pPr>
  </w:style>
  <w:style w:type="paragraph" w:styleId="Verzeichnis2">
    <w:name w:val="toc 2"/>
    <w:basedOn w:val="Standard"/>
    <w:next w:val="Standard"/>
    <w:autoRedefine/>
    <w:semiHidden/>
    <w:rsid w:val="00A058A8"/>
    <w:pPr>
      <w:tabs>
        <w:tab w:val="clear" w:pos="1152"/>
        <w:tab w:val="clear" w:pos="2448"/>
        <w:tab w:val="clear" w:pos="8496"/>
      </w:tabs>
      <w:ind w:left="220"/>
    </w:pPr>
  </w:style>
  <w:style w:type="paragraph" w:styleId="Verzeichnis3">
    <w:name w:val="toc 3"/>
    <w:basedOn w:val="Standard"/>
    <w:next w:val="Standard"/>
    <w:autoRedefine/>
    <w:semiHidden/>
    <w:rsid w:val="00A058A8"/>
    <w:pPr>
      <w:tabs>
        <w:tab w:val="clear" w:pos="1152"/>
        <w:tab w:val="clear" w:pos="2448"/>
        <w:tab w:val="clear" w:pos="8496"/>
      </w:tabs>
      <w:ind w:left="440"/>
    </w:pPr>
  </w:style>
  <w:style w:type="paragraph" w:styleId="Verzeichnis4">
    <w:name w:val="toc 4"/>
    <w:basedOn w:val="Standard"/>
    <w:next w:val="Standard"/>
    <w:autoRedefine/>
    <w:semiHidden/>
    <w:rsid w:val="00A058A8"/>
    <w:pPr>
      <w:tabs>
        <w:tab w:val="clear" w:pos="1152"/>
        <w:tab w:val="clear" w:pos="2448"/>
        <w:tab w:val="clear" w:pos="8496"/>
      </w:tabs>
      <w:ind w:left="660"/>
    </w:pPr>
  </w:style>
  <w:style w:type="paragraph" w:styleId="Verzeichnis5">
    <w:name w:val="toc 5"/>
    <w:basedOn w:val="Standard"/>
    <w:next w:val="Standard"/>
    <w:autoRedefine/>
    <w:semiHidden/>
    <w:rsid w:val="00A058A8"/>
    <w:pPr>
      <w:tabs>
        <w:tab w:val="clear" w:pos="1152"/>
        <w:tab w:val="clear" w:pos="2448"/>
        <w:tab w:val="clear" w:pos="8496"/>
      </w:tabs>
      <w:ind w:left="880"/>
    </w:pPr>
  </w:style>
  <w:style w:type="paragraph" w:styleId="Verzeichnis6">
    <w:name w:val="toc 6"/>
    <w:basedOn w:val="Standard"/>
    <w:next w:val="Standard"/>
    <w:autoRedefine/>
    <w:semiHidden/>
    <w:rsid w:val="00A058A8"/>
    <w:pPr>
      <w:tabs>
        <w:tab w:val="clear" w:pos="1152"/>
        <w:tab w:val="clear" w:pos="2448"/>
        <w:tab w:val="clear" w:pos="8496"/>
      </w:tabs>
      <w:ind w:left="1100"/>
    </w:pPr>
  </w:style>
  <w:style w:type="paragraph" w:styleId="Verzeichnis7">
    <w:name w:val="toc 7"/>
    <w:basedOn w:val="Standard"/>
    <w:next w:val="Standard"/>
    <w:autoRedefine/>
    <w:semiHidden/>
    <w:rsid w:val="00A058A8"/>
    <w:pPr>
      <w:tabs>
        <w:tab w:val="clear" w:pos="1152"/>
        <w:tab w:val="clear" w:pos="2448"/>
        <w:tab w:val="clear" w:pos="8496"/>
      </w:tabs>
      <w:ind w:left="1320"/>
    </w:pPr>
  </w:style>
  <w:style w:type="paragraph" w:styleId="Verzeichnis8">
    <w:name w:val="toc 8"/>
    <w:basedOn w:val="Standard"/>
    <w:next w:val="Standard"/>
    <w:autoRedefine/>
    <w:semiHidden/>
    <w:rsid w:val="00A058A8"/>
    <w:pPr>
      <w:tabs>
        <w:tab w:val="clear" w:pos="1152"/>
        <w:tab w:val="clear" w:pos="2448"/>
        <w:tab w:val="clear" w:pos="8496"/>
      </w:tabs>
      <w:ind w:left="1540"/>
    </w:pPr>
  </w:style>
  <w:style w:type="paragraph" w:styleId="Verzeichnis9">
    <w:name w:val="toc 9"/>
    <w:basedOn w:val="Standard"/>
    <w:next w:val="Standard"/>
    <w:autoRedefine/>
    <w:semiHidden/>
    <w:rsid w:val="00A058A8"/>
    <w:pPr>
      <w:tabs>
        <w:tab w:val="clear" w:pos="1152"/>
        <w:tab w:val="clear" w:pos="2448"/>
        <w:tab w:val="clear" w:pos="8496"/>
      </w:tabs>
      <w:ind w:left="1760"/>
    </w:pPr>
  </w:style>
  <w:style w:type="paragraph" w:styleId="Fuzeile">
    <w:name w:val="footer"/>
    <w:basedOn w:val="Standard"/>
    <w:rsid w:val="00A058A8"/>
    <w:pPr>
      <w:tabs>
        <w:tab w:val="clear" w:pos="1152"/>
        <w:tab w:val="clear" w:pos="2448"/>
        <w:tab w:val="clear" w:pos="8496"/>
        <w:tab w:val="center" w:pos="4536"/>
        <w:tab w:val="right" w:pos="9072"/>
      </w:tabs>
    </w:pPr>
  </w:style>
  <w:style w:type="character" w:styleId="Hyperlink">
    <w:name w:val="Hyperlink"/>
    <w:rsid w:val="00A058A8"/>
    <w:rPr>
      <w:color w:val="0000FF"/>
      <w:u w:val="single"/>
    </w:rPr>
  </w:style>
  <w:style w:type="character" w:customStyle="1" w:styleId="AufzhlungChar">
    <w:name w:val="Aufzählung Char"/>
    <w:link w:val="Aufzhlung"/>
    <w:rsid w:val="00472C27"/>
    <w:rPr>
      <w:sz w:val="22"/>
      <w:lang w:val="de-DE" w:eastAsia="de-DE" w:bidi="ar-SA"/>
    </w:rPr>
  </w:style>
  <w:style w:type="paragraph" w:customStyle="1" w:styleId="Fundstelle">
    <w:name w:val="Fundstelle"/>
    <w:basedOn w:val="Standard"/>
    <w:link w:val="FundstelleZchn"/>
    <w:rsid w:val="00122810"/>
    <w:pPr>
      <w:widowControl/>
      <w:numPr>
        <w:numId w:val="8"/>
      </w:numPr>
      <w:tabs>
        <w:tab w:val="clear" w:pos="1152"/>
        <w:tab w:val="clear" w:pos="2448"/>
        <w:tab w:val="clear" w:pos="8496"/>
        <w:tab w:val="right" w:pos="8505"/>
      </w:tabs>
      <w:overflowPunct/>
      <w:autoSpaceDE/>
      <w:autoSpaceDN/>
      <w:adjustRightInd/>
      <w:spacing w:after="120" w:line="260" w:lineRule="exact"/>
      <w:jc w:val="left"/>
      <w:textAlignment w:val="auto"/>
    </w:pPr>
    <w:rPr>
      <w:rFonts w:ascii="Arial" w:hAnsi="Arial"/>
      <w:sz w:val="24"/>
    </w:rPr>
  </w:style>
  <w:style w:type="character" w:customStyle="1" w:styleId="FundstelleZchn">
    <w:name w:val="Fundstelle Zchn"/>
    <w:link w:val="Fundstelle"/>
    <w:rsid w:val="00122810"/>
    <w:rPr>
      <w:rFonts w:ascii="Arial" w:hAnsi="Arial"/>
      <w:sz w:val="24"/>
      <w:lang w:val="de-DE" w:eastAsia="de-DE" w:bidi="ar-SA"/>
    </w:rPr>
  </w:style>
  <w:style w:type="paragraph" w:customStyle="1" w:styleId="Impressum">
    <w:name w:val="Impressum"/>
    <w:basedOn w:val="Standard"/>
    <w:rsid w:val="00343848"/>
    <w:pPr>
      <w:spacing w:after="0" w:line="170" w:lineRule="exact"/>
    </w:pPr>
    <w:rPr>
      <w:rFonts w:ascii="Arial" w:hAnsi="Arial"/>
      <w:sz w:val="16"/>
    </w:rPr>
  </w:style>
  <w:style w:type="character" w:customStyle="1" w:styleId="AufzhlungZchn">
    <w:name w:val="Aufzählung Zchn"/>
    <w:locked/>
    <w:rsid w:val="005C415F"/>
    <w:rPr>
      <w:sz w:val="22"/>
      <w:lang w:val="de-DE" w:eastAsia="de-DE" w:bidi="ar-SA"/>
    </w:rPr>
  </w:style>
  <w:style w:type="paragraph" w:styleId="Sprechblasentext">
    <w:name w:val="Balloon Text"/>
    <w:basedOn w:val="Standard"/>
    <w:semiHidden/>
    <w:rsid w:val="00637502"/>
    <w:rPr>
      <w:rFonts w:ascii="Tahoma" w:hAnsi="Tahoma" w:cs="Tahoma"/>
      <w:sz w:val="16"/>
      <w:szCs w:val="16"/>
    </w:rPr>
  </w:style>
  <w:style w:type="character" w:styleId="Kommentarzeichen">
    <w:name w:val="annotation reference"/>
    <w:semiHidden/>
    <w:rsid w:val="00B9234C"/>
    <w:rPr>
      <w:sz w:val="16"/>
      <w:szCs w:val="16"/>
    </w:rPr>
  </w:style>
  <w:style w:type="paragraph" w:styleId="Kommentartext">
    <w:name w:val="annotation text"/>
    <w:basedOn w:val="Standard"/>
    <w:semiHidden/>
    <w:rsid w:val="00B9234C"/>
    <w:rPr>
      <w:sz w:val="20"/>
    </w:rPr>
  </w:style>
  <w:style w:type="paragraph" w:styleId="Kommentarthema">
    <w:name w:val="annotation subject"/>
    <w:basedOn w:val="Kommentartext"/>
    <w:next w:val="Kommentartext"/>
    <w:semiHidden/>
    <w:rsid w:val="00B9234C"/>
    <w:rPr>
      <w:b/>
      <w:bCs/>
    </w:rPr>
  </w:style>
  <w:style w:type="character" w:styleId="Fett">
    <w:name w:val="Strong"/>
    <w:qFormat/>
    <w:rsid w:val="00E5583E"/>
    <w:rPr>
      <w:b/>
      <w:bCs/>
    </w:rPr>
  </w:style>
  <w:style w:type="character" w:customStyle="1" w:styleId="berschrift2Zchn">
    <w:name w:val="Überschrift 2 Zchn"/>
    <w:link w:val="berschrift2"/>
    <w:rsid w:val="00E5583E"/>
    <w:rPr>
      <w:rFonts w:ascii="Arial" w:hAnsi="Arial"/>
      <w:sz w:val="19"/>
      <w:u w:val="single"/>
      <w:lang w:val="de-DE" w:eastAsia="de-DE" w:bidi="ar-SA"/>
    </w:rPr>
  </w:style>
  <w:style w:type="character" w:customStyle="1" w:styleId="berschrift1Zchn">
    <w:name w:val="Überschrift 1 Zchn"/>
    <w:link w:val="berschrift1"/>
    <w:rsid w:val="00F342A7"/>
    <w:rPr>
      <w:rFonts w:ascii="Arial" w:hAnsi="Arial"/>
      <w:b/>
      <w:kern w:val="28"/>
      <w:sz w:val="23"/>
    </w:rPr>
  </w:style>
  <w:style w:type="paragraph" w:styleId="berarbeitung">
    <w:name w:val="Revision"/>
    <w:hidden/>
    <w:uiPriority w:val="99"/>
    <w:semiHidden/>
    <w:rsid w:val="00DD128B"/>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57355">
      <w:bodyDiv w:val="1"/>
      <w:marLeft w:val="0"/>
      <w:marRight w:val="0"/>
      <w:marTop w:val="0"/>
      <w:marBottom w:val="0"/>
      <w:divBdr>
        <w:top w:val="none" w:sz="0" w:space="0" w:color="auto"/>
        <w:left w:val="none" w:sz="0" w:space="0" w:color="auto"/>
        <w:bottom w:val="none" w:sz="0" w:space="0" w:color="auto"/>
        <w:right w:val="none" w:sz="0" w:space="0" w:color="auto"/>
      </w:divBdr>
    </w:div>
    <w:div w:id="730545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2216</Words>
  <Characters>13967</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Sehr geehrte Mandantin,</vt:lpstr>
    </vt:vector>
  </TitlesOfParts>
  <Company>Peter Deubner Verlag</Company>
  <LinksUpToDate>false</LinksUpToDate>
  <CharactersWithSpaces>16151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Mandantin,</dc:title>
  <dc:creator>Axel Kaiser</dc:creator>
  <cp:lastModifiedBy>Sabine Himmelberg</cp:lastModifiedBy>
  <cp:revision>2</cp:revision>
  <cp:lastPrinted>2022-01-12T12:27:00Z</cp:lastPrinted>
  <dcterms:created xsi:type="dcterms:W3CDTF">2024-01-12T10:23:00Z</dcterms:created>
  <dcterms:modified xsi:type="dcterms:W3CDTF">2024-01-12T10:23:00Z</dcterms:modified>
</cp:coreProperties>
</file>