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449" w:rsidRDefault="00A0127B">
      <w:pPr>
        <w:pStyle w:val="berschrift"/>
      </w:pPr>
      <w:r>
        <w:t>Sehr geehrte Mandantin,</w:t>
      </w:r>
      <w:r>
        <w:br/>
        <w:t>sehr geehrter Mandant,</w:t>
      </w:r>
    </w:p>
    <w:p w:rsidR="00A101BE" w:rsidRDefault="00A101BE" w:rsidP="00A101BE">
      <w:pPr>
        <w:spacing w:after="140"/>
      </w:pPr>
      <w:r>
        <w:t xml:space="preserve">zumindest in Thüringen wird der </w:t>
      </w:r>
      <w:r w:rsidRPr="00617A29">
        <w:rPr>
          <w:b/>
        </w:rPr>
        <w:t>Turnus</w:t>
      </w:r>
      <w:r w:rsidRPr="00617A29">
        <w:t xml:space="preserve">, was </w:t>
      </w:r>
      <w:r w:rsidRPr="00617A29">
        <w:rPr>
          <w:b/>
        </w:rPr>
        <w:t>Prüfungen</w:t>
      </w:r>
      <w:r w:rsidRPr="00617A29">
        <w:t xml:space="preserve"> hinsichtlich der gemeinnützigkeit</w:t>
      </w:r>
      <w:r w:rsidRPr="00617A29">
        <w:t>s</w:t>
      </w:r>
      <w:r w:rsidRPr="00617A29">
        <w:t>rechtlichen Voraussetzungen angeht</w:t>
      </w:r>
      <w:r>
        <w:t xml:space="preserve">, für </w:t>
      </w:r>
      <w:r w:rsidRPr="005F4330">
        <w:t xml:space="preserve">einige steuerbegünstigte Vereine </w:t>
      </w:r>
      <w:r>
        <w:t xml:space="preserve">auf </w:t>
      </w:r>
      <w:r w:rsidRPr="005F4330">
        <w:t>ein oder zwei Ja</w:t>
      </w:r>
      <w:r w:rsidRPr="005F4330">
        <w:t>h</w:t>
      </w:r>
      <w:r w:rsidRPr="005F4330">
        <w:t xml:space="preserve">re </w:t>
      </w:r>
      <w:r w:rsidRPr="00617A29">
        <w:rPr>
          <w:b/>
        </w:rPr>
        <w:t>verkürzt</w:t>
      </w:r>
      <w:r w:rsidRPr="005F4330">
        <w:t>.</w:t>
      </w:r>
      <w:r>
        <w:t xml:space="preserve"> Wir beleuchten, was es mit diesem Vorstoß auf sich hat. Haben Sie sich vorgeno</w:t>
      </w:r>
      <w:r>
        <w:t>m</w:t>
      </w:r>
      <w:r>
        <w:t xml:space="preserve">men, Platz zu schaffen und sich um die Ablage zu kümmern? Wir geben Ihnen wichtige Hinweise dazu, wie lange Sie welche </w:t>
      </w:r>
      <w:r>
        <w:rPr>
          <w:b/>
        </w:rPr>
        <w:t>Unterlagen aufb</w:t>
      </w:r>
      <w:r>
        <w:rPr>
          <w:b/>
        </w:rPr>
        <w:t>e</w:t>
      </w:r>
      <w:r>
        <w:rPr>
          <w:b/>
        </w:rPr>
        <w:t>wahren</w:t>
      </w:r>
      <w:r>
        <w:t xml:space="preserve"> müssen und was Sie entsorgen können. Der </w:t>
      </w:r>
      <w:r w:rsidRPr="00617A29">
        <w:rPr>
          <w:b/>
        </w:rPr>
        <w:t>Steuertipp</w:t>
      </w:r>
      <w:r>
        <w:t xml:space="preserve"> zeigt, wie erfolgversprechend ein </w:t>
      </w:r>
      <w:r w:rsidRPr="00617A29">
        <w:rPr>
          <w:b/>
        </w:rPr>
        <w:t>Einspruch</w:t>
      </w:r>
      <w:r>
        <w:t xml:space="preserve"> beim Finanzamt sein kann.</w:t>
      </w:r>
    </w:p>
    <w:p w:rsidR="00A101BE" w:rsidRDefault="00A101BE" w:rsidP="00A101BE">
      <w:pPr>
        <w:framePr w:w="4332" w:wrap="around" w:vAnchor="page" w:hAnchor="page" w:x="6414" w:y="12050" w:anchorLock="1"/>
        <w:pBdr>
          <w:top w:val="single" w:sz="4" w:space="4" w:color="auto"/>
          <w:left w:val="single" w:sz="4" w:space="4" w:color="auto"/>
          <w:bottom w:val="single" w:sz="4" w:space="4" w:color="auto"/>
          <w:right w:val="single" w:sz="4" w:space="4" w:color="auto"/>
        </w:pBdr>
        <w:shd w:val="solid" w:color="DDDDDD" w:fill="FFFFFF"/>
        <w:spacing w:before="80" w:after="80"/>
        <w:ind w:left="28"/>
        <w:suppressOverlap/>
        <w:rPr>
          <w:rFonts w:ascii="Arial" w:hAnsi="Arial" w:cs="Arial"/>
          <w:b/>
          <w:bCs/>
          <w:sz w:val="20"/>
        </w:rPr>
      </w:pPr>
      <w:r>
        <w:rPr>
          <w:rFonts w:ascii="Arial" w:hAnsi="Arial" w:cs="Arial"/>
          <w:b/>
          <w:bCs/>
          <w:sz w:val="20"/>
        </w:rPr>
        <w:t>In dieser Ausgabe</w:t>
      </w:r>
    </w:p>
    <w:p w:rsidR="00A101BE" w:rsidRPr="00B731CF" w:rsidRDefault="00A101BE" w:rsidP="00A101BE">
      <w:pPr>
        <w:pStyle w:val="Verzeichnis1"/>
        <w:framePr w:w="4332" w:wrap="around" w:vAnchor="page" w:hAnchor="page" w:x="6414" w:y="12050"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B731CF">
        <w:rPr>
          <w:b/>
        </w:rPr>
        <w:t>Gemeinnützigkeit:</w:t>
      </w:r>
      <w:r>
        <w:t xml:space="preserve"> Teilweise droht </w:t>
      </w:r>
      <w:r>
        <w:br/>
        <w:t>eine Verkürzung des Prüfungsturnus</w:t>
      </w:r>
      <w:r>
        <w:tab/>
      </w:r>
      <w:r w:rsidR="005A34BA">
        <w:t>1</w:t>
      </w:r>
    </w:p>
    <w:p w:rsidR="005A34BA" w:rsidRPr="00617A29" w:rsidRDefault="005A34BA" w:rsidP="005A34BA">
      <w:pPr>
        <w:pStyle w:val="Verzeichnis1"/>
        <w:framePr w:w="4332" w:wrap="around" w:vAnchor="page" w:hAnchor="page" w:x="6414" w:y="12050"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617A29">
        <w:rPr>
          <w:b/>
        </w:rPr>
        <w:t>Fristverlängerung:</w:t>
      </w:r>
      <w:r>
        <w:t xml:space="preserve"> Drei Monate mehr Zeit </w:t>
      </w:r>
      <w:r>
        <w:br/>
        <w:t xml:space="preserve">für die </w:t>
      </w:r>
      <w:r w:rsidRPr="00332196">
        <w:t>Grundsteuer-Feststellungserklärung</w:t>
      </w:r>
      <w:r>
        <w:tab/>
        <w:t>2</w:t>
      </w:r>
    </w:p>
    <w:p w:rsidR="005A34BA" w:rsidRDefault="005A34BA" w:rsidP="005A34BA">
      <w:pPr>
        <w:pStyle w:val="Verzeichnis1"/>
        <w:framePr w:w="4332" w:wrap="around" w:vAnchor="page" w:hAnchor="page" w:x="6414" w:y="12050"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Datenschutz:</w:t>
      </w:r>
      <w:r>
        <w:t xml:space="preserve"> Beim</w:t>
      </w:r>
      <w:r w:rsidRPr="00012C39">
        <w:t xml:space="preserve"> erweiterten Führungs</w:t>
      </w:r>
      <w:r>
        <w:t>-</w:t>
      </w:r>
      <w:r>
        <w:br/>
      </w:r>
      <w:proofErr w:type="spellStart"/>
      <w:r w:rsidRPr="00012C39">
        <w:t>zeugnis</w:t>
      </w:r>
      <w:proofErr w:type="spellEnd"/>
      <w:r>
        <w:t xml:space="preserve"> gelten neue </w:t>
      </w:r>
      <w:r w:rsidRPr="00012C39">
        <w:t>Fristenregelungen</w:t>
      </w:r>
      <w:r>
        <w:tab/>
        <w:t>2</w:t>
      </w:r>
    </w:p>
    <w:p w:rsidR="005A34BA" w:rsidRDefault="005A34BA" w:rsidP="005A34BA">
      <w:pPr>
        <w:pStyle w:val="Verzeichnis1"/>
        <w:framePr w:w="4332" w:wrap="around" w:vAnchor="page" w:hAnchor="page" w:x="6414" w:y="12050"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955E14">
        <w:rPr>
          <w:b/>
          <w:spacing w:val="-2"/>
        </w:rPr>
        <w:t>Hinweispflicht:</w:t>
      </w:r>
      <w:r w:rsidRPr="00955E14">
        <w:rPr>
          <w:spacing w:val="-2"/>
        </w:rPr>
        <w:t xml:space="preserve"> Wann Urlaubsansprüche verjähren</w:t>
      </w:r>
      <w:r>
        <w:tab/>
        <w:t>2</w:t>
      </w:r>
    </w:p>
    <w:p w:rsidR="00A101BE" w:rsidRDefault="00A101BE" w:rsidP="00A101BE">
      <w:pPr>
        <w:pStyle w:val="Verzeichnis1"/>
        <w:framePr w:w="4332" w:wrap="around" w:vAnchor="page" w:hAnchor="page" w:x="6414" w:y="12050"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Ablage:</w:t>
      </w:r>
      <w:r>
        <w:t xml:space="preserve"> Welche Belege Sie aufbewahren </w:t>
      </w:r>
      <w:r>
        <w:br/>
        <w:t>müsse</w:t>
      </w:r>
      <w:r w:rsidR="005A34BA">
        <w:t>n und was Sie entsorgen können</w:t>
      </w:r>
      <w:r w:rsidR="005A34BA">
        <w:tab/>
        <w:t>3</w:t>
      </w:r>
    </w:p>
    <w:p w:rsidR="00A101BE" w:rsidRDefault="00A101BE" w:rsidP="00A101BE">
      <w:pPr>
        <w:pStyle w:val="Verzeichnis1"/>
        <w:framePr w:w="4332" w:wrap="around" w:vAnchor="page" w:hAnchor="page" w:x="6414" w:y="12050"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5F4330">
        <w:rPr>
          <w:b/>
        </w:rPr>
        <w:t>Abgrenzungskriterien:</w:t>
      </w:r>
      <w:r w:rsidRPr="005F4330">
        <w:t xml:space="preserve"> </w:t>
      </w:r>
      <w:r>
        <w:br/>
      </w:r>
      <w:r w:rsidRPr="005F4330">
        <w:t>Wann liegt ein Beschäftigungsverhältnis vor?</w:t>
      </w:r>
      <w:r w:rsidR="005A34BA">
        <w:tab/>
        <w:t>3</w:t>
      </w:r>
    </w:p>
    <w:p w:rsidR="005A34BA" w:rsidRDefault="005A34BA" w:rsidP="005A34BA">
      <w:pPr>
        <w:pStyle w:val="Verzeichnis1"/>
        <w:framePr w:w="4332" w:wrap="around" w:vAnchor="page" w:hAnchor="page" w:x="6414" w:y="12050"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F21492">
        <w:rPr>
          <w:b/>
        </w:rPr>
        <w:t>Rechtsform</w:t>
      </w:r>
      <w:r>
        <w:rPr>
          <w:b/>
        </w:rPr>
        <w:t>:</w:t>
      </w:r>
      <w:r>
        <w:t xml:space="preserve"> Privilegierung gemeinnütziger </w:t>
      </w:r>
      <w:r>
        <w:br/>
        <w:t>Vereine bei Rundfunkbeiträgen ist zulässig</w:t>
      </w:r>
      <w:r>
        <w:tab/>
        <w:t>4</w:t>
      </w:r>
    </w:p>
    <w:p w:rsidR="00A101BE" w:rsidRDefault="00A101BE" w:rsidP="00A101BE">
      <w:pPr>
        <w:pStyle w:val="Verzeichnis1"/>
        <w:framePr w:w="4332" w:wrap="around" w:vAnchor="page" w:hAnchor="page" w:x="6414" w:y="12050"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617A29">
        <w:rPr>
          <w:b/>
        </w:rPr>
        <w:t>Steuertipp:</w:t>
      </w:r>
      <w:r>
        <w:t xml:space="preserve"> Fast zwei Drittel der Einsprüche </w:t>
      </w:r>
      <w:r>
        <w:br/>
        <w:t>beim Finanzamt haben Erfolg</w:t>
      </w:r>
      <w:r>
        <w:tab/>
        <w:t>4</w:t>
      </w:r>
    </w:p>
    <w:p w:rsidR="00A101BE" w:rsidRDefault="00A101BE" w:rsidP="00A101BE">
      <w:pPr>
        <w:pStyle w:val="berschrift2"/>
        <w:spacing w:before="380"/>
      </w:pPr>
      <w:r>
        <w:t>Gemeinnützigkeit</w:t>
      </w:r>
      <w:r>
        <w:tab/>
      </w:r>
    </w:p>
    <w:p w:rsidR="00A101BE" w:rsidRDefault="00A101BE" w:rsidP="00A101BE">
      <w:pPr>
        <w:pStyle w:val="berschrift1"/>
      </w:pPr>
      <w:r>
        <w:t>Teilweise droht eine Verkürzung des Prüfungsturnus</w:t>
      </w:r>
    </w:p>
    <w:p w:rsidR="00A101BE" w:rsidRDefault="00A101BE" w:rsidP="00A101BE">
      <w:pPr>
        <w:spacing w:after="140"/>
      </w:pPr>
      <w:r>
        <w:t>In der Regel prüfen die Finanzämter die gemei</w:t>
      </w:r>
      <w:r>
        <w:t>n</w:t>
      </w:r>
      <w:r>
        <w:t>nützigkeitsrechtlichen Voraussetzungen bei ste</w:t>
      </w:r>
      <w:r>
        <w:t>u</w:t>
      </w:r>
      <w:r>
        <w:t xml:space="preserve">erbegünstigten Vereinen nur </w:t>
      </w:r>
      <w:r w:rsidRPr="00B731CF">
        <w:rPr>
          <w:b/>
        </w:rPr>
        <w:t>alle drei Jahre</w:t>
      </w:r>
      <w:r>
        <w:t xml:space="preserve">. Wie das Finanzministerium </w:t>
      </w:r>
      <w:r w:rsidR="003E05B8">
        <w:t xml:space="preserve">Thüringen </w:t>
      </w:r>
      <w:r>
        <w:t>(</w:t>
      </w:r>
      <w:proofErr w:type="spellStart"/>
      <w:r>
        <w:t>FinMin</w:t>
      </w:r>
      <w:proofErr w:type="spellEnd"/>
      <w:r>
        <w:t>) mitteilt, wird sich das für einige Vereine in Th</w:t>
      </w:r>
      <w:r>
        <w:t>ü</w:t>
      </w:r>
      <w:r>
        <w:t xml:space="preserve">ringen </w:t>
      </w:r>
      <w:r w:rsidR="003E05B8">
        <w:t xml:space="preserve">allerdings </w:t>
      </w:r>
      <w:r>
        <w:t>ändern.</w:t>
      </w:r>
    </w:p>
    <w:p w:rsidR="00A101BE" w:rsidRDefault="00A101BE" w:rsidP="00A101BE">
      <w:r>
        <w:t>Gemeinnützige Vereine, egal ob Sport- oder Kleintierzuchtverein, müssten ihre Körperschaf</w:t>
      </w:r>
      <w:r>
        <w:t>t</w:t>
      </w:r>
      <w:r>
        <w:t>steuererklärungen nur alle drei Jahre an das z</w:t>
      </w:r>
      <w:r>
        <w:t>u</w:t>
      </w:r>
      <w:r>
        <w:t>ständige Finanzamt übermitteln. Auf eine jährl</w:t>
      </w:r>
      <w:r>
        <w:t>i</w:t>
      </w:r>
      <w:r>
        <w:t>che Überprüfung - wie etwa bei der Einko</w:t>
      </w:r>
      <w:r>
        <w:t>m</w:t>
      </w:r>
      <w:r>
        <w:t>mensteuer - werde normalerweise verzichtet. Der bürokratische Aufwand für die Vereine solle d</w:t>
      </w:r>
      <w:r>
        <w:t>a</w:t>
      </w:r>
      <w:r>
        <w:t xml:space="preserve">mit reduziert werden. Statistische Erhebungen des </w:t>
      </w:r>
      <w:proofErr w:type="spellStart"/>
      <w:r>
        <w:t>FinMin</w:t>
      </w:r>
      <w:proofErr w:type="spellEnd"/>
      <w:r>
        <w:t xml:space="preserve"> hätten jedoch gezeigt, dass für ei</w:t>
      </w:r>
      <w:r>
        <w:t>n</w:t>
      </w:r>
      <w:r>
        <w:lastRenderedPageBreak/>
        <w:t>zelne Jahre deutlich mehr gemeinnützige Vereine geprüft werden müssten als für andere Jahre. Im Ergebnis führe das zu einer ungleichen Arbeit</w:t>
      </w:r>
      <w:r>
        <w:t>s</w:t>
      </w:r>
      <w:r>
        <w:t>belastung in den Finanzämtern und zu längeren Bearbeitungszeiten. Vereine müssten dann deu</w:t>
      </w:r>
      <w:r>
        <w:t>t</w:t>
      </w:r>
      <w:r>
        <w:t>lich länger auf die Bestätigung ihrer Gemeinnü</w:t>
      </w:r>
      <w:r>
        <w:t>t</w:t>
      </w:r>
      <w:r>
        <w:t>zigkeit warten. Deshalb sei man dazu über</w:t>
      </w:r>
      <w:r w:rsidR="003E05B8">
        <w:t>ge</w:t>
      </w:r>
      <w:r>
        <w:t>ga</w:t>
      </w:r>
      <w:r>
        <w:t>n</w:t>
      </w:r>
      <w:r>
        <w:t xml:space="preserve">gen, per </w:t>
      </w:r>
      <w:r w:rsidRPr="00B731CF">
        <w:rPr>
          <w:b/>
        </w:rPr>
        <w:t>Zufallsprinzip</w:t>
      </w:r>
      <w:r>
        <w:t xml:space="preserve"> ausgewählten steuerb</w:t>
      </w:r>
      <w:r>
        <w:t>e</w:t>
      </w:r>
      <w:r>
        <w:t xml:space="preserve">günstigten Vereinen mitzuteilen, dass der übliche Prüfungsturnus von drei Jahren </w:t>
      </w:r>
      <w:r w:rsidRPr="00DC6946">
        <w:t>einmalig</w:t>
      </w:r>
      <w:r>
        <w:t xml:space="preserve"> auf ein oder zwei Jahre verkürzt werde.</w:t>
      </w:r>
    </w:p>
    <w:p w:rsidR="00A101BE" w:rsidRDefault="00A101BE" w:rsidP="00A101BE">
      <w:pPr>
        <w:shd w:val="clear" w:color="auto" w:fill="E6E6E6"/>
        <w:spacing w:after="140"/>
        <w:ind w:left="284"/>
      </w:pPr>
      <w:r>
        <w:rPr>
          <w:b/>
        </w:rPr>
        <w:t>Hinweis:</w:t>
      </w:r>
      <w:r>
        <w:t xml:space="preserve"> Gemeinnützige Vereine haben ke</w:t>
      </w:r>
      <w:r>
        <w:t>i</w:t>
      </w:r>
      <w:r>
        <w:t>nen gesetzlichen Anspruch auf die dreijährige Turnusprüfung.</w:t>
      </w:r>
    </w:p>
    <w:p w:rsidR="00A101BE" w:rsidRDefault="00A101BE" w:rsidP="00A101BE">
      <w:r>
        <w:t xml:space="preserve">Laut </w:t>
      </w:r>
      <w:proofErr w:type="spellStart"/>
      <w:r>
        <w:t>FinMin</w:t>
      </w:r>
      <w:proofErr w:type="spellEnd"/>
      <w:r>
        <w:t xml:space="preserve"> sind zum Nachweis der Gemeinnü</w:t>
      </w:r>
      <w:r>
        <w:t>t</w:t>
      </w:r>
      <w:r>
        <w:t>zigkeit neben der eigentlichen Steuererklärung auch folgende Unterlagen einzureichen:</w:t>
      </w:r>
    </w:p>
    <w:p w:rsidR="00A101BE" w:rsidRDefault="00A101BE" w:rsidP="00A101BE">
      <w:pPr>
        <w:pStyle w:val="Aufzhlung"/>
      </w:pPr>
      <w:r>
        <w:t>nach Tätigkeitsbereichen gegliederte Einna</w:t>
      </w:r>
      <w:r>
        <w:t>h</w:t>
      </w:r>
      <w:r>
        <w:t xml:space="preserve">men-Ausgaben-Rechnungen, </w:t>
      </w:r>
    </w:p>
    <w:p w:rsidR="00A101BE" w:rsidRDefault="00A101BE" w:rsidP="00A101BE">
      <w:pPr>
        <w:pStyle w:val="Aufzhlung"/>
      </w:pPr>
      <w:r>
        <w:lastRenderedPageBreak/>
        <w:t xml:space="preserve">Geschäfts- und Tätigkeitsberichte, </w:t>
      </w:r>
    </w:p>
    <w:p w:rsidR="00A101BE" w:rsidRDefault="00A101BE" w:rsidP="00A101BE">
      <w:pPr>
        <w:pStyle w:val="Aufzhlung"/>
      </w:pPr>
      <w:r>
        <w:t>(wenn nötig) Protokolle von Mitgliederve</w:t>
      </w:r>
      <w:r>
        <w:t>r</w:t>
      </w:r>
      <w:r>
        <w:t xml:space="preserve">sammlungen, </w:t>
      </w:r>
    </w:p>
    <w:p w:rsidR="00A101BE" w:rsidRDefault="00A101BE" w:rsidP="00A101BE">
      <w:pPr>
        <w:pStyle w:val="Aufzhlung"/>
      </w:pPr>
      <w:r>
        <w:t xml:space="preserve">die Vermögensaufstellung zum 31.12.2022 (für die Steuererklärung 2022) sowie </w:t>
      </w:r>
    </w:p>
    <w:p w:rsidR="00A101BE" w:rsidRDefault="00A101BE" w:rsidP="00A101BE">
      <w:pPr>
        <w:pStyle w:val="Aufzhlung"/>
      </w:pPr>
      <w:r>
        <w:t>eine Rücklagenübersicht, sofern eine zeitnahe Mittelverwendungspflicht besteht.</w:t>
      </w:r>
    </w:p>
    <w:p w:rsidR="00A101BE" w:rsidRDefault="00A101BE" w:rsidP="00A101BE">
      <w:pPr>
        <w:shd w:val="clear" w:color="auto" w:fill="E6E6E6"/>
        <w:spacing w:after="140"/>
        <w:ind w:left="284"/>
      </w:pPr>
      <w:r w:rsidRPr="00B731CF">
        <w:rPr>
          <w:b/>
        </w:rPr>
        <w:t>Hinweis:</w:t>
      </w:r>
      <w:r>
        <w:t xml:space="preserve"> Wir unterstützen Sie </w:t>
      </w:r>
      <w:r w:rsidR="00D772A2">
        <w:t>natürlich</w:t>
      </w:r>
      <w:r>
        <w:t>, wenn es um den Nachweis der Gemeinnützi</w:t>
      </w:r>
      <w:r>
        <w:t>g</w:t>
      </w:r>
      <w:r>
        <w:t xml:space="preserve">keit geht. Ob sich ein </w:t>
      </w:r>
      <w:r w:rsidR="00D772A2">
        <w:t xml:space="preserve">kürzerer </w:t>
      </w:r>
      <w:r>
        <w:t>Prüfungsturnus auch in anderen Bundesländern etablieren wird, werden wir für Sie beobachten.</w:t>
      </w:r>
    </w:p>
    <w:p w:rsidR="00CA3115" w:rsidRDefault="00CA3115" w:rsidP="00CA3115">
      <w:pPr>
        <w:pStyle w:val="berschrift2"/>
      </w:pPr>
      <w:r w:rsidRPr="00061ED4">
        <w:t>Fristverlängerung</w:t>
      </w:r>
      <w:r>
        <w:tab/>
      </w:r>
    </w:p>
    <w:p w:rsidR="00CA3115" w:rsidRDefault="00CA3115" w:rsidP="00CA3115">
      <w:pPr>
        <w:pStyle w:val="berschrift1"/>
      </w:pPr>
      <w:r>
        <w:t xml:space="preserve">Drei Monate mehr Zeit für die </w:t>
      </w:r>
      <w:r>
        <w:br/>
      </w:r>
      <w:r w:rsidRPr="00332196">
        <w:t>Grundsteuer-Feststellungserklärung</w:t>
      </w:r>
    </w:p>
    <w:p w:rsidR="00CA3115" w:rsidRDefault="001B3E88" w:rsidP="00CA3115">
      <w:r>
        <w:t>Auf den Stichtag</w:t>
      </w:r>
      <w:r w:rsidRPr="00332196">
        <w:t xml:space="preserve"> </w:t>
      </w:r>
      <w:r w:rsidR="00CA3115">
        <w:t>0</w:t>
      </w:r>
      <w:r w:rsidR="00CA3115" w:rsidRPr="00332196">
        <w:t>1.</w:t>
      </w:r>
      <w:r w:rsidR="00CA3115">
        <w:t>01</w:t>
      </w:r>
      <w:r w:rsidR="00CA3115" w:rsidRPr="00332196">
        <w:t>.2022 sind bundesweit a</w:t>
      </w:r>
      <w:r w:rsidR="00CA3115" w:rsidRPr="00332196">
        <w:t>l</w:t>
      </w:r>
      <w:r w:rsidR="00CA3115" w:rsidRPr="00332196">
        <w:t xml:space="preserve">le Grundstücke neu zu bewerten. Ab 2025 löst </w:t>
      </w:r>
      <w:r w:rsidR="003A16D5">
        <w:t xml:space="preserve">dann </w:t>
      </w:r>
      <w:r w:rsidR="00CA3115" w:rsidRPr="00332196">
        <w:t>der Grundsteuerwert den Einheitswert ab</w:t>
      </w:r>
      <w:r w:rsidR="00CA3115">
        <w:t xml:space="preserve">. Falls Ihr Verein Grundbesitz hat und Sie Ihre </w:t>
      </w:r>
      <w:r w:rsidR="00CA3115" w:rsidRPr="00332196">
        <w:t>Grundsteuer-Feststellungserklärung</w:t>
      </w:r>
      <w:r w:rsidR="00CA3115">
        <w:t xml:space="preserve"> selbst erste</w:t>
      </w:r>
      <w:r w:rsidR="00CA3115">
        <w:t>l</w:t>
      </w:r>
      <w:r w:rsidR="00CA3115">
        <w:t>len möchten und noch nicht abgegeben haben, können Sie kurz aufatmen: Die Finanzminister der Länder haben in Abstimmung mit dem Bu</w:t>
      </w:r>
      <w:r w:rsidR="00CA3115">
        <w:t>n</w:t>
      </w:r>
      <w:r w:rsidR="00CA3115">
        <w:t>desf</w:t>
      </w:r>
      <w:r w:rsidR="00CA3115">
        <w:t>i</w:t>
      </w:r>
      <w:r w:rsidR="00CA3115">
        <w:t>nanzministerium beschlossen, die Frist zur Abg</w:t>
      </w:r>
      <w:r w:rsidR="00CA3115">
        <w:t>a</w:t>
      </w:r>
      <w:r w:rsidR="00CA3115">
        <w:t xml:space="preserve">be der Erklärungen von Ende Oktober 2022 auf </w:t>
      </w:r>
      <w:r w:rsidR="00CA3115">
        <w:rPr>
          <w:b/>
        </w:rPr>
        <w:t>Ende Januar 2023</w:t>
      </w:r>
      <w:r w:rsidR="00CA3115">
        <w:t xml:space="preserve"> zu verlängern.</w:t>
      </w:r>
    </w:p>
    <w:p w:rsidR="00CA3115" w:rsidRDefault="00CA3115" w:rsidP="00CA3115">
      <w:pPr>
        <w:shd w:val="clear" w:color="auto" w:fill="E6E6E6"/>
        <w:ind w:left="284"/>
      </w:pPr>
      <w:r>
        <w:rPr>
          <w:b/>
        </w:rPr>
        <w:t>Hinweis:</w:t>
      </w:r>
      <w:r>
        <w:t xml:space="preserve"> Das neue Fristende ist unbedingt einzuhalten. Selbstverständlich können Sie bei der </w:t>
      </w:r>
      <w:r w:rsidRPr="00332196">
        <w:t>Grundsteuer-Feststellungserklärung</w:t>
      </w:r>
      <w:r>
        <w:t xml:space="preserve"> mit unserer Unterstützung rechnen.</w:t>
      </w:r>
    </w:p>
    <w:p w:rsidR="00A101BE" w:rsidRDefault="00A101BE" w:rsidP="00A101BE">
      <w:pPr>
        <w:pStyle w:val="berschrift2"/>
      </w:pPr>
      <w:r>
        <w:t>Datenschutz</w:t>
      </w:r>
      <w:r>
        <w:tab/>
      </w:r>
    </w:p>
    <w:p w:rsidR="00A101BE" w:rsidRPr="00012C39" w:rsidRDefault="00A101BE" w:rsidP="00A101BE">
      <w:pPr>
        <w:pStyle w:val="berschrift1"/>
      </w:pPr>
      <w:r>
        <w:t>Beim</w:t>
      </w:r>
      <w:r w:rsidRPr="00012C39">
        <w:t xml:space="preserve"> erweiterten Führungszeugnis</w:t>
      </w:r>
      <w:r>
        <w:t xml:space="preserve"> </w:t>
      </w:r>
      <w:r>
        <w:br/>
        <w:t xml:space="preserve">gelten neue </w:t>
      </w:r>
      <w:r w:rsidRPr="00012C39">
        <w:t>Fristenregelungen</w:t>
      </w:r>
    </w:p>
    <w:p w:rsidR="00A101BE" w:rsidRDefault="00A101BE" w:rsidP="00CA3115">
      <w:pPr>
        <w:spacing w:after="140"/>
      </w:pPr>
      <w:r>
        <w:t>Vereine, die im Bereich der Kinder- und Jugen</w:t>
      </w:r>
      <w:r>
        <w:t>d</w:t>
      </w:r>
      <w:r>
        <w:t>hilfe tätig sind, werden von ihren Mitarbeitern und ihren ehrenamtlichen Kräften ein „erweite</w:t>
      </w:r>
      <w:r>
        <w:t>r</w:t>
      </w:r>
      <w:r>
        <w:t xml:space="preserve">tes Führungszeugnis“ verlangen. Das Gleiche gilt, wenn </w:t>
      </w:r>
      <w:r w:rsidRPr="00012C39">
        <w:rPr>
          <w:b/>
        </w:rPr>
        <w:t>Minderjährige</w:t>
      </w:r>
      <w:r>
        <w:t xml:space="preserve"> beruflich oder ehre</w:t>
      </w:r>
      <w:r>
        <w:t>n</w:t>
      </w:r>
      <w:r>
        <w:t xml:space="preserve">amtlich betreut, beaufsichtigt, </w:t>
      </w:r>
      <w:r w:rsidR="00B54AF4">
        <w:t xml:space="preserve">erzogen oder </w:t>
      </w:r>
      <w:r>
        <w:t>au</w:t>
      </w:r>
      <w:r>
        <w:t>s</w:t>
      </w:r>
      <w:r>
        <w:t>gebildet werden. Dem erweiterten Führung</w:t>
      </w:r>
      <w:r>
        <w:t>s</w:t>
      </w:r>
      <w:r>
        <w:t>zeugnis lässt sich zu</w:t>
      </w:r>
      <w:r w:rsidR="00B54AF4">
        <w:t>m</w:t>
      </w:r>
      <w:r>
        <w:t xml:space="preserve"> Beispiel entnehmen, ob jemand eine Sexualstraftat begangen hat, was die Arbeit mit Minderjährigen ausschließt.</w:t>
      </w:r>
    </w:p>
    <w:p w:rsidR="00A101BE" w:rsidRDefault="00A101BE" w:rsidP="00A101BE">
      <w:r>
        <w:t>Die Fristenregelungen zum erweiterten Fü</w:t>
      </w:r>
      <w:r>
        <w:t>h</w:t>
      </w:r>
      <w:r>
        <w:t xml:space="preserve">rungszeugnis sind erheblich ausgeweitet worden. </w:t>
      </w:r>
      <w:r w:rsidRPr="006E339F">
        <w:t>So beträgt unter anderem die Aufnahmefrist für Verurteilungen in erweiterte Führungszeugnisse künftig mindestens zehn Jahre. Da</w:t>
      </w:r>
      <w:r>
        <w:t xml:space="preserve">mit gewinnt das </w:t>
      </w:r>
      <w:r w:rsidRPr="006E339F">
        <w:t>erweiterte Führungszeugnis</w:t>
      </w:r>
      <w:r>
        <w:t xml:space="preserve"> an </w:t>
      </w:r>
      <w:r w:rsidRPr="006E339F">
        <w:t>Bedeutung</w:t>
      </w:r>
      <w:r>
        <w:t xml:space="preserve"> </w:t>
      </w:r>
      <w:r>
        <w:lastRenderedPageBreak/>
        <w:t xml:space="preserve">sowie </w:t>
      </w:r>
      <w:r w:rsidRPr="006E339F">
        <w:t xml:space="preserve">Aussagekraft und </w:t>
      </w:r>
      <w:r>
        <w:t xml:space="preserve">die </w:t>
      </w:r>
      <w:r w:rsidRPr="006E339F">
        <w:t>datenschutzrechtl</w:t>
      </w:r>
      <w:r w:rsidRPr="006E339F">
        <w:t>i</w:t>
      </w:r>
      <w:r w:rsidRPr="006E339F">
        <w:t xml:space="preserve">che </w:t>
      </w:r>
      <w:r w:rsidRPr="00012C39">
        <w:rPr>
          <w:b/>
        </w:rPr>
        <w:t>Eingriffsintensität</w:t>
      </w:r>
      <w:r>
        <w:t xml:space="preserve"> nimmt zu</w:t>
      </w:r>
      <w:r w:rsidRPr="006E339F">
        <w:t xml:space="preserve">. Vor diesem Hintergrund </w:t>
      </w:r>
      <w:r>
        <w:t xml:space="preserve">hielt der Gesetzgeber </w:t>
      </w:r>
      <w:r w:rsidRPr="006E339F">
        <w:t>eine Verbess</w:t>
      </w:r>
      <w:r w:rsidRPr="006E339F">
        <w:t>e</w:t>
      </w:r>
      <w:r w:rsidRPr="006E339F">
        <w:t>rung des bereichsspezifischen Datenschutzes</w:t>
      </w:r>
      <w:r>
        <w:t xml:space="preserve"> für no</w:t>
      </w:r>
      <w:r>
        <w:t>t</w:t>
      </w:r>
      <w:r>
        <w:t>wendig und hat Folgendes geregelt:</w:t>
      </w:r>
    </w:p>
    <w:p w:rsidR="00A101BE" w:rsidRDefault="00A101BE" w:rsidP="00CA3115">
      <w:pPr>
        <w:pStyle w:val="Aufzhlung"/>
        <w:spacing w:after="140"/>
      </w:pPr>
      <w:r>
        <w:t>Sie dürfen d</w:t>
      </w:r>
      <w:r w:rsidRPr="006D68F8">
        <w:t>ie Daten aus einem erweiter</w:t>
      </w:r>
      <w:r>
        <w:t>t</w:t>
      </w:r>
      <w:r w:rsidRPr="006D68F8">
        <w:t xml:space="preserve">en Führungszeugnis </w:t>
      </w:r>
      <w:r>
        <w:t>nur verar</w:t>
      </w:r>
      <w:r w:rsidRPr="006D68F8">
        <w:t xml:space="preserve">beiten, soweit dies zur </w:t>
      </w:r>
      <w:r w:rsidRPr="00012C39">
        <w:t>Prüfung der Eignung</w:t>
      </w:r>
      <w:r w:rsidRPr="006D68F8">
        <w:t xml:space="preserve"> der Person für eine Tätigkeit, die Anlass zur Vorlage des Fü</w:t>
      </w:r>
      <w:r w:rsidRPr="006D68F8">
        <w:t>h</w:t>
      </w:r>
      <w:r w:rsidRPr="006D68F8">
        <w:t>rungszeugnisses gewesen ist, erforderlich ist.</w:t>
      </w:r>
    </w:p>
    <w:p w:rsidR="00A101BE" w:rsidRDefault="00A101BE" w:rsidP="00CA3115">
      <w:pPr>
        <w:pStyle w:val="Aufzhlung"/>
        <w:spacing w:after="140"/>
      </w:pPr>
      <w:r w:rsidRPr="006D68F8">
        <w:t>Die Daten sind vor dem Zugriff</w:t>
      </w:r>
      <w:r>
        <w:t xml:space="preserve"> </w:t>
      </w:r>
      <w:r w:rsidRPr="006D68F8">
        <w:t>Unbefugter zu schützen.</w:t>
      </w:r>
    </w:p>
    <w:p w:rsidR="00A101BE" w:rsidRDefault="00A101BE" w:rsidP="00CA3115">
      <w:pPr>
        <w:pStyle w:val="Aufzhlung"/>
        <w:spacing w:after="140"/>
      </w:pPr>
      <w:r>
        <w:t>D</w:t>
      </w:r>
      <w:r w:rsidRPr="006D68F8">
        <w:t xml:space="preserve">ie </w:t>
      </w:r>
      <w:r>
        <w:t xml:space="preserve">Daten </w:t>
      </w:r>
      <w:r w:rsidRPr="006D68F8">
        <w:t>sind unverzüglich zu löschen, wenn die Person</w:t>
      </w:r>
      <w:r>
        <w:t xml:space="preserve"> </w:t>
      </w:r>
      <w:r w:rsidRPr="006D68F8">
        <w:t>die Tätigkeit, die Anlass zur Vo</w:t>
      </w:r>
      <w:r w:rsidRPr="006D68F8">
        <w:t>r</w:t>
      </w:r>
      <w:r w:rsidRPr="006D68F8">
        <w:t>lage</w:t>
      </w:r>
      <w:r>
        <w:t xml:space="preserve"> </w:t>
      </w:r>
      <w:r w:rsidRPr="006D68F8">
        <w:t>des Führungszeugnisses gewesen ist,</w:t>
      </w:r>
      <w:r>
        <w:t xml:space="preserve"> </w:t>
      </w:r>
      <w:r w:rsidRPr="006D68F8">
        <w:t>nicht ausübt.</w:t>
      </w:r>
    </w:p>
    <w:p w:rsidR="00A101BE" w:rsidRPr="006E339F" w:rsidRDefault="00A101BE" w:rsidP="00CA3115">
      <w:pPr>
        <w:pStyle w:val="Aufzhlung"/>
        <w:spacing w:after="140"/>
      </w:pPr>
      <w:r w:rsidRPr="006D68F8">
        <w:t>Die Daten sind spätestens</w:t>
      </w:r>
      <w:r>
        <w:t xml:space="preserve"> </w:t>
      </w:r>
      <w:r w:rsidRPr="006D68F8">
        <w:t>sechs Monate nach der letztmaligen</w:t>
      </w:r>
      <w:r>
        <w:t xml:space="preserve"> </w:t>
      </w:r>
      <w:r w:rsidRPr="006D68F8">
        <w:t>Ausübung der Tätigkeit zu löschen.</w:t>
      </w:r>
    </w:p>
    <w:p w:rsidR="00A101BE" w:rsidRDefault="00A101BE" w:rsidP="00A101BE">
      <w:pPr>
        <w:pStyle w:val="berschrift2"/>
      </w:pPr>
      <w:r>
        <w:t>Hinweispflicht</w:t>
      </w:r>
      <w:r>
        <w:tab/>
      </w:r>
    </w:p>
    <w:p w:rsidR="00A101BE" w:rsidRDefault="00A101BE" w:rsidP="00A101BE">
      <w:pPr>
        <w:pStyle w:val="berschrift1"/>
      </w:pPr>
      <w:r>
        <w:t>Wann Urlaubsansprüche verjähren</w:t>
      </w:r>
    </w:p>
    <w:p w:rsidR="00A101BE" w:rsidRDefault="00A101BE" w:rsidP="00CA3115">
      <w:pPr>
        <w:spacing w:after="140"/>
      </w:pPr>
      <w:r>
        <w:t>Zum Jahresbeginn sollten Sie prüfen, welche Al</w:t>
      </w:r>
      <w:r>
        <w:t>t</w:t>
      </w:r>
      <w:r>
        <w:t>lasten Sie aus dem Vorjahr mitgenommen haben. Wenn Ihr Verein Mitarbeiter beschäftigt, gehören dazu auch deren Urlaubsansprüche. Wurde der Urlaub im Vorjahr nicht (vollständig) in A</w:t>
      </w:r>
      <w:r>
        <w:t>n</w:t>
      </w:r>
      <w:r>
        <w:t>spruch genommen, wird er in der Regel übertr</w:t>
      </w:r>
      <w:r>
        <w:t>a</w:t>
      </w:r>
      <w:r>
        <w:t xml:space="preserve">gen und kann </w:t>
      </w:r>
      <w:r w:rsidRPr="00DC6946">
        <w:rPr>
          <w:b/>
        </w:rPr>
        <w:t>bis zum 31.03. des Folgejahres</w:t>
      </w:r>
      <w:r>
        <w:t xml:space="preserve"> </w:t>
      </w:r>
      <w:r w:rsidR="00114674">
        <w:t xml:space="preserve">genommen </w:t>
      </w:r>
      <w:r>
        <w:t>werden. Problematisch wird es j</w:t>
      </w:r>
      <w:r>
        <w:t>e</w:t>
      </w:r>
      <w:r>
        <w:t>doch, wenn sich Urlaubsansprüche „anhäufen“ und der Mitarbeiter (z.B. nach seinem Aussche</w:t>
      </w:r>
      <w:r>
        <w:t>i</w:t>
      </w:r>
      <w:r>
        <w:t>den) eine Auszahlung des nicht in Anspruch g</w:t>
      </w:r>
      <w:r>
        <w:t>e</w:t>
      </w:r>
      <w:r>
        <w:t>nommenen Urlaubs fordert. Ob Sie dann erfol</w:t>
      </w:r>
      <w:r>
        <w:t>g</w:t>
      </w:r>
      <w:r>
        <w:t>reich die Verjährung anführen können, hat nun der Europä</w:t>
      </w:r>
      <w:r>
        <w:t>i</w:t>
      </w:r>
      <w:r>
        <w:t>sche Gerichtshof (EuGH) geklärt.</w:t>
      </w:r>
    </w:p>
    <w:p w:rsidR="00A101BE" w:rsidRDefault="00A101BE" w:rsidP="00CA3115">
      <w:pPr>
        <w:spacing w:after="140"/>
      </w:pPr>
      <w:r>
        <w:t>Im Urteilsfall hatte sich eine ehemalige Arbei</w:t>
      </w:r>
      <w:r>
        <w:t>t</w:t>
      </w:r>
      <w:r>
        <w:t>nehmerin mit ihrem Arbeitgeber über insgesamt 101 nicht in Anspruch genommene Urlaubstage gestritten. Nach ihrem Ausscheiden klagte sie auf Zahlung von über 20.000 € für nichtgenomm</w:t>
      </w:r>
      <w:r>
        <w:t>e</w:t>
      </w:r>
      <w:r>
        <w:t>nen Urlaub. Der Arbeitgeber berief sich auf Verjä</w:t>
      </w:r>
      <w:r>
        <w:t>h</w:t>
      </w:r>
      <w:r>
        <w:t>rung, da die Urlaubsansprüche länger als drei Jahre zurücklägen. Das Bundesarbeitsgericht le</w:t>
      </w:r>
      <w:r>
        <w:t>g</w:t>
      </w:r>
      <w:r>
        <w:t>te das Verfahren dem EuGH mit der Frage vor, ob es mit europäischem Recht vereinbar sei, wenn der gesetzliche Mindesturlaub von vier Wochen nach drei Jahren verjähre.</w:t>
      </w:r>
    </w:p>
    <w:p w:rsidR="00A101BE" w:rsidRDefault="00A101BE" w:rsidP="00CA3115">
      <w:r>
        <w:t>Sich nur auf die Verjährung zu berufen, reicht laut EuGH nicht aus, da der Mindesturlaubsa</w:t>
      </w:r>
      <w:r>
        <w:t>n</w:t>
      </w:r>
      <w:r>
        <w:t xml:space="preserve">spruch zu den </w:t>
      </w:r>
      <w:r w:rsidRPr="00955E14">
        <w:rPr>
          <w:b/>
        </w:rPr>
        <w:t>europäischen Grundrechten</w:t>
      </w:r>
      <w:r>
        <w:t xml:space="preserve"> g</w:t>
      </w:r>
      <w:r>
        <w:t>e</w:t>
      </w:r>
      <w:r>
        <w:t>hört. Der Arbeitgeber habe zwar ein berechtigtes Interesse daran, nicht mit Urlaubs- oder Urlaub</w:t>
      </w:r>
      <w:r>
        <w:t>s</w:t>
      </w:r>
      <w:r>
        <w:t xml:space="preserve">abgeltungsansprüchen konfrontiert zu werden, </w:t>
      </w:r>
      <w:r w:rsidRPr="0033603C">
        <w:lastRenderedPageBreak/>
        <w:t>die auf</w:t>
      </w:r>
      <w:r>
        <w:t xml:space="preserve"> </w:t>
      </w:r>
      <w:r w:rsidRPr="0033603C">
        <w:t>mehr als drei Jahre vor Antragstellung erworbene</w:t>
      </w:r>
      <w:r>
        <w:t xml:space="preserve"> </w:t>
      </w:r>
      <w:r w:rsidRPr="0033603C">
        <w:t>Ansprüche gestützt würden.</w:t>
      </w:r>
      <w:r>
        <w:t xml:space="preserve"> Der A</w:t>
      </w:r>
      <w:r>
        <w:t>r</w:t>
      </w:r>
      <w:r>
        <w:t>beitnehmer müsse aber zunächst in die Lage ve</w:t>
      </w:r>
      <w:r>
        <w:t>r</w:t>
      </w:r>
      <w:r>
        <w:t xml:space="preserve">setzt werden, </w:t>
      </w:r>
      <w:r w:rsidRPr="0033603C">
        <w:t>den Anspruch auf bezahlten Ja</w:t>
      </w:r>
      <w:r w:rsidRPr="0033603C">
        <w:t>h</w:t>
      </w:r>
      <w:r w:rsidRPr="0033603C">
        <w:t>resurlaub tatsächlich wahrzunehmen</w:t>
      </w:r>
      <w:r>
        <w:t>. Daraus fo</w:t>
      </w:r>
      <w:r>
        <w:t>l</w:t>
      </w:r>
      <w:r>
        <w:t>g</w:t>
      </w:r>
      <w:r w:rsidR="00CC766F">
        <w:t>e</w:t>
      </w:r>
      <w:r>
        <w:t>, dass der Anspruch auf Jahresurlaub nur unter der Vorau</w:t>
      </w:r>
      <w:r>
        <w:t>s</w:t>
      </w:r>
      <w:r>
        <w:t xml:space="preserve">setzung verlorengehen </w:t>
      </w:r>
      <w:r w:rsidR="00CC766F">
        <w:t>könne</w:t>
      </w:r>
      <w:r>
        <w:t>, dass der betreffende Arbeitnehmer tatsächlich die Mö</w:t>
      </w:r>
      <w:r>
        <w:t>g</w:t>
      </w:r>
      <w:r>
        <w:t xml:space="preserve">lichkeit </w:t>
      </w:r>
      <w:r w:rsidR="00C952A7">
        <w:t>g</w:t>
      </w:r>
      <w:r w:rsidR="00C952A7">
        <w:t>e</w:t>
      </w:r>
      <w:r w:rsidR="00C952A7">
        <w:t xml:space="preserve">habt </w:t>
      </w:r>
      <w:r>
        <w:t>ha</w:t>
      </w:r>
      <w:r w:rsidR="00C952A7">
        <w:t>b</w:t>
      </w:r>
      <w:r>
        <w:t>e, diesen Anspruch rechtzeitig ausz</w:t>
      </w:r>
      <w:r>
        <w:t>u</w:t>
      </w:r>
      <w:r>
        <w:t xml:space="preserve">üben. Dies sei </w:t>
      </w:r>
      <w:r w:rsidR="00C952A7">
        <w:t xml:space="preserve">aber </w:t>
      </w:r>
      <w:r>
        <w:t>nur dann der Fall, wenn der Arbeitgeber den Arbeitnehmer darauf hi</w:t>
      </w:r>
      <w:r>
        <w:t>n</w:t>
      </w:r>
      <w:r>
        <w:t>weise, dass er seinen Urlaub zu nehmen habe.</w:t>
      </w:r>
    </w:p>
    <w:p w:rsidR="00A101BE" w:rsidRDefault="00A101BE" w:rsidP="00CA3115">
      <w:pPr>
        <w:shd w:val="clear" w:color="auto" w:fill="E6E6E6"/>
        <w:ind w:left="284"/>
      </w:pPr>
      <w:r>
        <w:rPr>
          <w:b/>
        </w:rPr>
        <w:t>Hinweis:</w:t>
      </w:r>
      <w:r>
        <w:t xml:space="preserve"> Für die positive Kenntnis des A</w:t>
      </w:r>
      <w:r>
        <w:t>r</w:t>
      </w:r>
      <w:r>
        <w:t xml:space="preserve">beitnehmers </w:t>
      </w:r>
      <w:r w:rsidR="00C952A7">
        <w:t>von der</w:t>
      </w:r>
      <w:r>
        <w:t xml:space="preserve"> Rechtslage zum Urlaub</w:t>
      </w:r>
      <w:r>
        <w:t>s</w:t>
      </w:r>
      <w:r>
        <w:t xml:space="preserve">verfall und </w:t>
      </w:r>
      <w:r w:rsidR="00C952A7">
        <w:t xml:space="preserve">der </w:t>
      </w:r>
      <w:r>
        <w:t>Verjährung des nicht in A</w:t>
      </w:r>
      <w:r>
        <w:t>n</w:t>
      </w:r>
      <w:r>
        <w:t>spruch genommenen Urlaubs müssen Sie u</w:t>
      </w:r>
      <w:r>
        <w:t>n</w:t>
      </w:r>
      <w:r>
        <w:t>missverständlich auf den drohenden Verfall von Urlaub hinweisen</w:t>
      </w:r>
      <w:r w:rsidR="00C952A7">
        <w:t>.</w:t>
      </w:r>
      <w:r>
        <w:t xml:space="preserve"> </w:t>
      </w:r>
      <w:r w:rsidR="00C952A7">
        <w:t>N</w:t>
      </w:r>
      <w:r>
        <w:t>ehmen Sie diesen Hinweis auch zur Personalakte.</w:t>
      </w:r>
    </w:p>
    <w:p w:rsidR="00CA3115" w:rsidRDefault="00CA3115" w:rsidP="00CA3115">
      <w:pPr>
        <w:pStyle w:val="berschrift2"/>
      </w:pPr>
      <w:r>
        <w:t>Ablage</w:t>
      </w:r>
      <w:r>
        <w:tab/>
      </w:r>
    </w:p>
    <w:p w:rsidR="00CA3115" w:rsidRDefault="00CA3115" w:rsidP="00CA3115">
      <w:pPr>
        <w:pStyle w:val="berschrift1"/>
      </w:pPr>
      <w:r>
        <w:t xml:space="preserve">Welche Belege Sie aufbewahren </w:t>
      </w:r>
      <w:r>
        <w:br/>
        <w:t>müssen und was Sie entsorgen können</w:t>
      </w:r>
    </w:p>
    <w:p w:rsidR="00CA3115" w:rsidRDefault="00CA3115" w:rsidP="00CA3115">
      <w:r>
        <w:t>Das neue Vereinsjahr beginnt häufig mit dem Aufräumen der Ablage. Hier stellt sich dann die Frage, welche Unterlagen aufbewahrt werden müssen und welche entsorgt werden können.</w:t>
      </w:r>
    </w:p>
    <w:p w:rsidR="00CA3115" w:rsidRDefault="00CA3115" w:rsidP="00CA3115">
      <w:r>
        <w:t>Grundsätzlich beginnt die Aufbewahrungspflicht mit dem Schluss des Kalenderjahres, in das das jeweilige „Ereignis“ fiel. Bei Rechnungen, die Sie im Jahr 2012 erhalten und beglichen haben, begann die Aufbewahrungsfrist folglich mit dem 31.12.2012. Bei einer zehnjährigen Aufbewa</w:t>
      </w:r>
      <w:r>
        <w:t>h</w:t>
      </w:r>
      <w:r>
        <w:t>rungsfrist können Sie diese Belege nun ab dem 01.01.2023 entsorgen.</w:t>
      </w:r>
    </w:p>
    <w:p w:rsidR="00CA3115" w:rsidRDefault="00CA3115" w:rsidP="00CA3115">
      <w:r>
        <w:rPr>
          <w:b/>
        </w:rPr>
        <w:t>Unterlagen</w:t>
      </w:r>
      <w:r>
        <w:t xml:space="preserve"> wie Bücher und Aufzeichnungen, Inventare, Jahresabschlüsse, Lageberichte, die Eröffnungsbilanz (mit Organisationsunterlagen) und Buchungsbelege unterliegen einer zehnjähr</w:t>
      </w:r>
      <w:r>
        <w:t>i</w:t>
      </w:r>
      <w:r>
        <w:t xml:space="preserve">gen Aufbewahrungspflicht. Auch bei </w:t>
      </w:r>
      <w:r>
        <w:rPr>
          <w:b/>
        </w:rPr>
        <w:t>Zuwe</w:t>
      </w:r>
      <w:r>
        <w:rPr>
          <w:b/>
        </w:rPr>
        <w:t>n</w:t>
      </w:r>
      <w:r>
        <w:rPr>
          <w:b/>
        </w:rPr>
        <w:t>dungsbestätigungen</w:t>
      </w:r>
      <w:r>
        <w:t xml:space="preserve"> müssen Sie zehn Jahre lang ein Doppel aufbewahren.</w:t>
      </w:r>
    </w:p>
    <w:p w:rsidR="00CA3115" w:rsidRDefault="00CA3115" w:rsidP="00CA3115">
      <w:pPr>
        <w:shd w:val="clear" w:color="auto" w:fill="E6E6E6"/>
        <w:ind w:left="284"/>
      </w:pPr>
      <w:r>
        <w:rPr>
          <w:b/>
        </w:rPr>
        <w:t>Hinweis:</w:t>
      </w:r>
      <w:r>
        <w:t xml:space="preserve"> Die Aufbewahrungsfrist endet</w:t>
      </w:r>
      <w:r w:rsidRPr="000E75F2">
        <w:t xml:space="preserve"> </w:t>
      </w:r>
      <w:r>
        <w:t>a</w:t>
      </w:r>
      <w:r>
        <w:t>l</w:t>
      </w:r>
      <w:r>
        <w:t>lerdings nicht, wenn das Finanzamt bis zum 31.12.2022 schriftlich eine Außenprüfung a</w:t>
      </w:r>
      <w:r>
        <w:t>n</w:t>
      </w:r>
      <w:r>
        <w:t>gekündigt hat.</w:t>
      </w:r>
    </w:p>
    <w:p w:rsidR="00CA3115" w:rsidRDefault="00CA3115" w:rsidP="00CA3115">
      <w:pPr>
        <w:shd w:val="clear" w:color="auto" w:fill="E6E6E6"/>
        <w:ind w:left="284"/>
      </w:pPr>
      <w:r>
        <w:t>Beachten Sie zudem, dass die Aufbewa</w:t>
      </w:r>
      <w:r>
        <w:t>h</w:t>
      </w:r>
      <w:r>
        <w:t>rungsfrist bei Verträgen erst nach dem Ende der Vertragsdauer zu laufen beginnt.</w:t>
      </w:r>
    </w:p>
    <w:p w:rsidR="00CA3115" w:rsidRDefault="00CA3115" w:rsidP="00CA3115">
      <w:r>
        <w:rPr>
          <w:b/>
        </w:rPr>
        <w:t>Lohnkonten</w:t>
      </w:r>
      <w:r>
        <w:t xml:space="preserve"> und </w:t>
      </w:r>
      <w:r>
        <w:rPr>
          <w:b/>
        </w:rPr>
        <w:t>Handels- oder Geschäftsbri</w:t>
      </w:r>
      <w:r>
        <w:rPr>
          <w:b/>
        </w:rPr>
        <w:t>e</w:t>
      </w:r>
      <w:r>
        <w:rPr>
          <w:b/>
        </w:rPr>
        <w:t>fe</w:t>
      </w:r>
      <w:r>
        <w:t xml:space="preserve"> dürfen Sie nach sechs Jahren vernichten. Also können Sie solche Unterlagen aus der Zeit vor dem 01.01.2017 Anfang 2023 entsorgen.</w:t>
      </w:r>
    </w:p>
    <w:p w:rsidR="00CA3115" w:rsidRDefault="00CA3115" w:rsidP="00CA3115">
      <w:pPr>
        <w:spacing w:after="150"/>
      </w:pPr>
      <w:r>
        <w:lastRenderedPageBreak/>
        <w:t xml:space="preserve">Bei den </w:t>
      </w:r>
      <w:r>
        <w:rPr>
          <w:b/>
        </w:rPr>
        <w:t>Vereinsunterlagen</w:t>
      </w:r>
      <w:r>
        <w:t xml:space="preserve"> sollten Sie allerdings nicht nur rechtliche Aspekte vor Augen haben: Unterlagen wie Protokolle sind beispielsweise für die Geschichte des Vereins bedeutsam und sol</w:t>
      </w:r>
      <w:r>
        <w:t>l</w:t>
      </w:r>
      <w:r>
        <w:t>ten somit gar nicht entsorgt werden.</w:t>
      </w:r>
    </w:p>
    <w:p w:rsidR="00CA3115" w:rsidRDefault="00CA3115" w:rsidP="00CA3115">
      <w:pPr>
        <w:spacing w:after="150"/>
      </w:pPr>
      <w:r>
        <w:t xml:space="preserve">Auch </w:t>
      </w:r>
      <w:r>
        <w:rPr>
          <w:b/>
        </w:rPr>
        <w:t>Kontoauszüge</w:t>
      </w:r>
      <w:r>
        <w:t xml:space="preserve"> sind zehn Jahre aufzub</w:t>
      </w:r>
      <w:r>
        <w:t>e</w:t>
      </w:r>
      <w:r>
        <w:t>wahren. Ausgenommen sind nur private Kont</w:t>
      </w:r>
      <w:r>
        <w:t>o</w:t>
      </w:r>
      <w:r>
        <w:t>auszüge, die Sie aber mindestens drei Jahre lang aufheben sollten. So können Sie im Zweifel b</w:t>
      </w:r>
      <w:r>
        <w:t>e</w:t>
      </w:r>
      <w:r>
        <w:t>weisen, dass Sie eine Rechnung beglichen haben. Beachten Sie auch, dass elektronisch übermittelte Kontoauszüge aufbewahrungspflichtig sind, weil sie originär digitale Dokumente darstellen.</w:t>
      </w:r>
    </w:p>
    <w:p w:rsidR="00CA3115" w:rsidRDefault="00CA3115" w:rsidP="00CA3115">
      <w:pPr>
        <w:spacing w:after="150"/>
      </w:pPr>
      <w:r>
        <w:t>Besonderheiten gelten hinsichtlich der Speich</w:t>
      </w:r>
      <w:r>
        <w:t>e</w:t>
      </w:r>
      <w:r>
        <w:t xml:space="preserve">rung von Unterlagen. Mit Ausnahme der </w:t>
      </w:r>
      <w:r>
        <w:rPr>
          <w:b/>
        </w:rPr>
        <w:t>Jahre</w:t>
      </w:r>
      <w:r>
        <w:rPr>
          <w:b/>
        </w:rPr>
        <w:t>s</w:t>
      </w:r>
      <w:r>
        <w:rPr>
          <w:b/>
        </w:rPr>
        <w:t>abschlüsse</w:t>
      </w:r>
      <w:r>
        <w:t xml:space="preserve"> und der </w:t>
      </w:r>
      <w:r>
        <w:rPr>
          <w:b/>
        </w:rPr>
        <w:t>Eröffnungsbilanz</w:t>
      </w:r>
      <w:r>
        <w:t>, die Sie im Original archivieren müssen, können Sie U</w:t>
      </w:r>
      <w:r>
        <w:t>n</w:t>
      </w:r>
      <w:r>
        <w:t>terlagen auch auf Datenträgern speichern. V</w:t>
      </w:r>
      <w:r>
        <w:t>o</w:t>
      </w:r>
      <w:r>
        <w:t>raussetzung ist, dass Sie die Grundsätze or</w:t>
      </w:r>
      <w:r>
        <w:t>d</w:t>
      </w:r>
      <w:r>
        <w:t>nungsmäßiger Buchführung einhalten und siche</w:t>
      </w:r>
      <w:r>
        <w:t>r</w:t>
      </w:r>
      <w:r>
        <w:t>stellen, dass die Daten wiedergegeben werden können. Im Zweifel müssen Sie auf Ihre Kosten diejen</w:t>
      </w:r>
      <w:r>
        <w:t>i</w:t>
      </w:r>
      <w:r>
        <w:t>gen Hilfsmittel zur Verfügung stellen, die erforderlich sind, um die Unterlagen lesbar zu machen oder Ausdrucke bereitzustellen.</w:t>
      </w:r>
    </w:p>
    <w:p w:rsidR="00CA3115" w:rsidRDefault="00CA3115" w:rsidP="00CA3115">
      <w:pPr>
        <w:spacing w:after="150"/>
      </w:pPr>
      <w:r>
        <w:rPr>
          <w:b/>
        </w:rPr>
        <w:t>Ausnahmen</w:t>
      </w:r>
      <w:r>
        <w:t xml:space="preserve"> von den Aufbewahrungsfristen ge</w:t>
      </w:r>
      <w:r>
        <w:t>l</w:t>
      </w:r>
      <w:r>
        <w:t>ten, wenn beispielsweise Bescheide noch nicht rechtskräftig sind, weil zum Beispiel Klageve</w:t>
      </w:r>
      <w:r>
        <w:t>r</w:t>
      </w:r>
      <w:r>
        <w:t>fahren anhängig sind.</w:t>
      </w:r>
    </w:p>
    <w:p w:rsidR="00CA3115" w:rsidRDefault="00CA3115" w:rsidP="00CA3115">
      <w:pPr>
        <w:shd w:val="clear" w:color="auto" w:fill="E6E6E6"/>
        <w:spacing w:after="150"/>
        <w:ind w:left="284"/>
      </w:pPr>
      <w:r>
        <w:rPr>
          <w:b/>
        </w:rPr>
        <w:t>Hinweis</w:t>
      </w:r>
      <w:r w:rsidRPr="00156C48">
        <w:rPr>
          <w:b/>
        </w:rPr>
        <w:t>:</w:t>
      </w:r>
      <w:r>
        <w:t xml:space="preserve"> Achten Sie bei der Entsorgung auch auf den Datenschutz! Sofern personenbezog</w:t>
      </w:r>
      <w:r>
        <w:t>e</w:t>
      </w:r>
      <w:r>
        <w:t>ne Daten erkennbar sind, sollten Sie eine pr</w:t>
      </w:r>
      <w:r>
        <w:t>o</w:t>
      </w:r>
      <w:r>
        <w:t>fessionelle Entsorgung vornehmen, um nicht drastische Bußgelder zu riskieren.</w:t>
      </w:r>
    </w:p>
    <w:p w:rsidR="00A101BE" w:rsidRDefault="00A101BE" w:rsidP="00A101BE">
      <w:pPr>
        <w:pStyle w:val="berschrift2"/>
      </w:pPr>
      <w:r>
        <w:t>Abgrenzungskriterien</w:t>
      </w:r>
      <w:r>
        <w:tab/>
      </w:r>
    </w:p>
    <w:p w:rsidR="00A101BE" w:rsidRDefault="00A101BE" w:rsidP="00A101BE">
      <w:pPr>
        <w:pStyle w:val="berschrift1"/>
      </w:pPr>
      <w:r>
        <w:t>Wann liegt ein Beschäftigungs</w:t>
      </w:r>
      <w:r>
        <w:softHyphen/>
        <w:t>verhältnis vor?</w:t>
      </w:r>
    </w:p>
    <w:p w:rsidR="00A101BE" w:rsidRDefault="00A101BE" w:rsidP="00A101BE">
      <w:r>
        <w:t>Das Landessozialgericht Hamburg (LSG) hat sich mit der Problematik beschäftigt, wie eine abhä</w:t>
      </w:r>
      <w:r>
        <w:t>n</w:t>
      </w:r>
      <w:r>
        <w:t>gige Beschäftigung von einer selbständigen T</w:t>
      </w:r>
      <w:r>
        <w:t>ä</w:t>
      </w:r>
      <w:r>
        <w:t>tigkeit abzugrenzen ist.</w:t>
      </w:r>
    </w:p>
    <w:p w:rsidR="00BE1449" w:rsidRPr="002601D4" w:rsidRDefault="00A101BE" w:rsidP="00A101BE">
      <w:pPr>
        <w:spacing w:after="140"/>
        <w:sectPr w:rsidR="00BE1449" w:rsidRPr="002601D4">
          <w:headerReference w:type="even" r:id="rId9"/>
          <w:headerReference w:type="default" r:id="rId10"/>
          <w:headerReference w:type="first" r:id="rId11"/>
          <w:footnotePr>
            <w:numRestart w:val="eachSect"/>
          </w:footnotePr>
          <w:type w:val="continuous"/>
          <w:pgSz w:w="11907" w:h="16840" w:code="9"/>
          <w:pgMar w:top="1134" w:right="1134" w:bottom="1134" w:left="1247" w:header="720" w:footer="1418" w:gutter="0"/>
          <w:cols w:num="2" w:space="709"/>
          <w:titlePg/>
        </w:sectPr>
      </w:pPr>
      <w:r>
        <w:t xml:space="preserve">Im Urteilsfall war ein Betreuer psychisch kranker Menschen ambulant für einen gemeinnützigen Verein tätig gewesen. Der Verein wandte sich nach einer </w:t>
      </w:r>
      <w:r w:rsidRPr="00DC6946">
        <w:rPr>
          <w:b/>
        </w:rPr>
        <w:t>Betriebsprüfung</w:t>
      </w:r>
      <w:r>
        <w:t xml:space="preserve"> gegen eine Nac</w:t>
      </w:r>
      <w:r>
        <w:t>h</w:t>
      </w:r>
      <w:r>
        <w:t>forderung von Sozialversicherungsbeiträgen in Höhe von fast 30.000 €. Das LSG gab dem Ve</w:t>
      </w:r>
      <w:r>
        <w:t>r</w:t>
      </w:r>
      <w:r>
        <w:t>ein Recht:</w:t>
      </w:r>
      <w:r w:rsidR="00DC6946">
        <w:t xml:space="preserve"> Der </w:t>
      </w:r>
      <w:r w:rsidR="00DC6946">
        <w:t xml:space="preserve">Rentenversicherungsträger </w:t>
      </w:r>
      <w:r>
        <w:t>kann vom Verein keine Beiträge zur Sozialversich</w:t>
      </w:r>
      <w:r>
        <w:t>e</w:t>
      </w:r>
      <w:r>
        <w:t>rung nachfordern, denn der Betreuer unterlag nicht der Sozialversicherungspflicht. Der Betre</w:t>
      </w:r>
      <w:r>
        <w:t>u</w:t>
      </w:r>
      <w:r>
        <w:t>er war nicht an Weisungen seines Auftraggebers gebu</w:t>
      </w:r>
      <w:r>
        <w:t>n</w:t>
      </w:r>
      <w:r>
        <w:t xml:space="preserve">den. Seine Vergütung erfolgte nach einem </w:t>
      </w:r>
    </w:p>
    <w:p w:rsidR="00A101BE" w:rsidRDefault="00CD7926" w:rsidP="00A101BE">
      <w:r>
        <w:lastRenderedPageBreak/>
        <w:t>ver</w:t>
      </w:r>
      <w:r w:rsidR="00DC6946">
        <w:t>einbarten Stun</w:t>
      </w:r>
      <w:r w:rsidR="00CA3115">
        <w:t xml:space="preserve">denlohn. Der Betreuer haftete für eventuell eintretende Schäden persönlich und unterlag keinem </w:t>
      </w:r>
      <w:r w:rsidR="00A101BE">
        <w:t>Wettbewerbsverbot. Nach A</w:t>
      </w:r>
      <w:r w:rsidR="00A101BE">
        <w:t>n</w:t>
      </w:r>
      <w:r w:rsidR="00A101BE">
        <w:t>sicht des LSG ist in diesem Fall vom Bestehen einer selbständigen Tätigkeit auszugehen.</w:t>
      </w:r>
    </w:p>
    <w:p w:rsidR="00A101BE" w:rsidRDefault="00A101BE" w:rsidP="00A101BE">
      <w:r>
        <w:t>Das LSG hat in seiner Entscheidung anschaulich die Anhaltspunkte dargestellt, die insgesamt zu betrachten sind:</w:t>
      </w:r>
    </w:p>
    <w:tbl>
      <w:tblPr>
        <w:tblW w:w="43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2033"/>
      </w:tblGrid>
      <w:tr w:rsidR="00A101BE" w:rsidRPr="00FB6DB4" w:rsidTr="00EA2EDE">
        <w:tc>
          <w:tcPr>
            <w:tcW w:w="2361" w:type="dxa"/>
          </w:tcPr>
          <w:p w:rsidR="00A101BE" w:rsidRPr="005F4330" w:rsidRDefault="00A101BE" w:rsidP="00CA3115">
            <w:pPr>
              <w:spacing w:before="40" w:after="40" w:line="220" w:lineRule="exact"/>
              <w:jc w:val="left"/>
              <w:rPr>
                <w:b/>
                <w:sz w:val="20"/>
              </w:rPr>
            </w:pPr>
            <w:r w:rsidRPr="005F4330">
              <w:rPr>
                <w:b/>
                <w:sz w:val="20"/>
              </w:rPr>
              <w:t xml:space="preserve">Für eine abhängige </w:t>
            </w:r>
            <w:r>
              <w:rPr>
                <w:b/>
                <w:sz w:val="20"/>
              </w:rPr>
              <w:br/>
            </w:r>
            <w:r w:rsidRPr="005F4330">
              <w:rPr>
                <w:b/>
                <w:sz w:val="20"/>
              </w:rPr>
              <w:t>Beschäftigung sprechen</w:t>
            </w:r>
          </w:p>
        </w:tc>
        <w:tc>
          <w:tcPr>
            <w:tcW w:w="2033" w:type="dxa"/>
          </w:tcPr>
          <w:p w:rsidR="00A101BE" w:rsidRPr="005F4330" w:rsidRDefault="00A101BE" w:rsidP="00CA3115">
            <w:pPr>
              <w:spacing w:before="40" w:after="40" w:line="220" w:lineRule="exact"/>
              <w:jc w:val="left"/>
              <w:rPr>
                <w:b/>
                <w:sz w:val="20"/>
              </w:rPr>
            </w:pPr>
            <w:r w:rsidRPr="005F4330">
              <w:rPr>
                <w:b/>
                <w:sz w:val="20"/>
              </w:rPr>
              <w:t>Für eine selbständige Tätigkeit sprechen</w:t>
            </w:r>
          </w:p>
        </w:tc>
      </w:tr>
      <w:tr w:rsidR="00A101BE" w:rsidRPr="00FB6DB4" w:rsidTr="00EA2EDE">
        <w:tc>
          <w:tcPr>
            <w:tcW w:w="2361" w:type="dxa"/>
          </w:tcPr>
          <w:p w:rsidR="00A101BE" w:rsidRPr="00FB6DB4" w:rsidRDefault="00A101BE" w:rsidP="00EA2EDE">
            <w:pPr>
              <w:spacing w:before="40" w:after="40" w:line="220" w:lineRule="exact"/>
              <w:jc w:val="left"/>
              <w:rPr>
                <w:sz w:val="20"/>
              </w:rPr>
            </w:pPr>
            <w:r w:rsidRPr="00FB6DB4">
              <w:rPr>
                <w:sz w:val="20"/>
              </w:rPr>
              <w:t>Bezeichnung des zugru</w:t>
            </w:r>
            <w:r w:rsidRPr="00FB6DB4">
              <w:rPr>
                <w:sz w:val="20"/>
              </w:rPr>
              <w:t>n</w:t>
            </w:r>
            <w:r w:rsidRPr="00FB6DB4">
              <w:rPr>
                <w:sz w:val="20"/>
              </w:rPr>
              <w:t>deliegenden Vertrags als „Arbeits- oder Anste</w:t>
            </w:r>
            <w:r w:rsidRPr="00FB6DB4">
              <w:rPr>
                <w:sz w:val="20"/>
              </w:rPr>
              <w:t>l</w:t>
            </w:r>
            <w:r w:rsidRPr="00FB6DB4">
              <w:rPr>
                <w:sz w:val="20"/>
              </w:rPr>
              <w:t>lungsvertrag“</w:t>
            </w:r>
          </w:p>
        </w:tc>
        <w:tc>
          <w:tcPr>
            <w:tcW w:w="2033" w:type="dxa"/>
          </w:tcPr>
          <w:p w:rsidR="00A101BE" w:rsidRPr="00FB6DB4" w:rsidRDefault="00A101BE" w:rsidP="00EA2EDE">
            <w:pPr>
              <w:spacing w:before="40" w:after="40" w:line="220" w:lineRule="exact"/>
              <w:jc w:val="left"/>
              <w:rPr>
                <w:sz w:val="20"/>
              </w:rPr>
            </w:pPr>
            <w:r w:rsidRPr="00FB6DB4">
              <w:rPr>
                <w:sz w:val="20"/>
              </w:rPr>
              <w:t>Bezeichnung des z</w:t>
            </w:r>
            <w:r w:rsidRPr="00FB6DB4">
              <w:rPr>
                <w:sz w:val="20"/>
              </w:rPr>
              <w:t>u</w:t>
            </w:r>
            <w:r w:rsidRPr="00FB6DB4">
              <w:rPr>
                <w:sz w:val="20"/>
              </w:rPr>
              <w:t>grundeliegenden Ve</w:t>
            </w:r>
            <w:r w:rsidRPr="00FB6DB4">
              <w:rPr>
                <w:sz w:val="20"/>
              </w:rPr>
              <w:t>r</w:t>
            </w:r>
            <w:r w:rsidRPr="00FB6DB4">
              <w:rPr>
                <w:sz w:val="20"/>
              </w:rPr>
              <w:t>trags als „Honorarve</w:t>
            </w:r>
            <w:r w:rsidRPr="00FB6DB4">
              <w:rPr>
                <w:sz w:val="20"/>
              </w:rPr>
              <w:t>r</w:t>
            </w:r>
            <w:r w:rsidRPr="00FB6DB4">
              <w:rPr>
                <w:sz w:val="20"/>
              </w:rPr>
              <w:t>trag“</w:t>
            </w:r>
          </w:p>
        </w:tc>
      </w:tr>
      <w:tr w:rsidR="00A101BE" w:rsidRPr="00FB6DB4" w:rsidTr="00EA2EDE">
        <w:tc>
          <w:tcPr>
            <w:tcW w:w="2361" w:type="dxa"/>
          </w:tcPr>
          <w:p w:rsidR="00A101BE" w:rsidRPr="00FB6DB4" w:rsidRDefault="00A101BE" w:rsidP="00EA2EDE">
            <w:pPr>
              <w:spacing w:before="40" w:after="40" w:line="220" w:lineRule="exact"/>
              <w:jc w:val="left"/>
              <w:rPr>
                <w:sz w:val="20"/>
              </w:rPr>
            </w:pPr>
            <w:r w:rsidRPr="00FB6DB4">
              <w:rPr>
                <w:sz w:val="20"/>
              </w:rPr>
              <w:t>Höchstpersönlichkeit der Arbeitsleistung</w:t>
            </w:r>
          </w:p>
        </w:tc>
        <w:tc>
          <w:tcPr>
            <w:tcW w:w="2033" w:type="dxa"/>
          </w:tcPr>
          <w:p w:rsidR="00A101BE" w:rsidRPr="00FB6DB4" w:rsidRDefault="00A101BE" w:rsidP="00DC6946">
            <w:pPr>
              <w:spacing w:before="40" w:after="40" w:line="220" w:lineRule="exact"/>
              <w:jc w:val="left"/>
              <w:rPr>
                <w:sz w:val="20"/>
              </w:rPr>
            </w:pPr>
            <w:r w:rsidRPr="00FB6DB4">
              <w:rPr>
                <w:sz w:val="20"/>
              </w:rPr>
              <w:t>Vertr</w:t>
            </w:r>
            <w:r w:rsidRPr="00FB6DB4">
              <w:rPr>
                <w:sz w:val="20"/>
              </w:rPr>
              <w:t>e</w:t>
            </w:r>
            <w:r w:rsidRPr="00FB6DB4">
              <w:rPr>
                <w:sz w:val="20"/>
              </w:rPr>
              <w:t>t</w:t>
            </w:r>
            <w:r w:rsidR="00DC6946">
              <w:rPr>
                <w:sz w:val="20"/>
              </w:rPr>
              <w:t>ung</w:t>
            </w:r>
            <w:r>
              <w:rPr>
                <w:sz w:val="20"/>
              </w:rPr>
              <w:t xml:space="preserve"> möglich</w:t>
            </w:r>
          </w:p>
        </w:tc>
      </w:tr>
      <w:tr w:rsidR="00A101BE" w:rsidRPr="00FB6DB4" w:rsidTr="00EA2EDE">
        <w:tc>
          <w:tcPr>
            <w:tcW w:w="2361" w:type="dxa"/>
          </w:tcPr>
          <w:p w:rsidR="00A101BE" w:rsidRPr="00FB6DB4" w:rsidRDefault="00A101BE" w:rsidP="00EA2EDE">
            <w:pPr>
              <w:spacing w:before="40" w:after="40" w:line="220" w:lineRule="exact"/>
              <w:jc w:val="left"/>
              <w:rPr>
                <w:sz w:val="20"/>
              </w:rPr>
            </w:pPr>
            <w:r w:rsidRPr="00FB6DB4">
              <w:rPr>
                <w:sz w:val="20"/>
              </w:rPr>
              <w:t>Verfügungsmöglichkeit des Auftraggebers als „Vorgesetzter“ über die Gestaltung der Arbeit</w:t>
            </w:r>
            <w:r w:rsidRPr="00FB6DB4">
              <w:rPr>
                <w:sz w:val="20"/>
              </w:rPr>
              <w:t>s</w:t>
            </w:r>
            <w:r w:rsidRPr="00FB6DB4">
              <w:rPr>
                <w:sz w:val="20"/>
              </w:rPr>
              <w:t>zeit, Anwesenheits- und Zei</w:t>
            </w:r>
            <w:r w:rsidRPr="00FB6DB4">
              <w:rPr>
                <w:sz w:val="20"/>
              </w:rPr>
              <w:t>t</w:t>
            </w:r>
            <w:r w:rsidRPr="00FB6DB4">
              <w:rPr>
                <w:sz w:val="20"/>
              </w:rPr>
              <w:t>kontrollen</w:t>
            </w:r>
          </w:p>
        </w:tc>
        <w:tc>
          <w:tcPr>
            <w:tcW w:w="2033" w:type="dxa"/>
          </w:tcPr>
          <w:p w:rsidR="00A101BE" w:rsidRPr="00FB6DB4" w:rsidRDefault="00A101BE" w:rsidP="00EA2EDE">
            <w:pPr>
              <w:spacing w:before="40" w:after="40" w:line="220" w:lineRule="exact"/>
              <w:jc w:val="left"/>
              <w:rPr>
                <w:sz w:val="20"/>
              </w:rPr>
            </w:pPr>
            <w:r w:rsidRPr="00FB6DB4">
              <w:rPr>
                <w:sz w:val="20"/>
              </w:rPr>
              <w:t>Unabhängigkeit von Weisungen</w:t>
            </w:r>
          </w:p>
        </w:tc>
      </w:tr>
      <w:tr w:rsidR="00A101BE" w:rsidRPr="00FB6DB4" w:rsidTr="00EA2EDE">
        <w:tc>
          <w:tcPr>
            <w:tcW w:w="2361" w:type="dxa"/>
          </w:tcPr>
          <w:p w:rsidR="00A101BE" w:rsidRPr="00FB6DB4" w:rsidRDefault="00A101BE" w:rsidP="00EA2EDE">
            <w:pPr>
              <w:spacing w:before="40" w:after="40" w:line="220" w:lineRule="exact"/>
              <w:jc w:val="left"/>
              <w:rPr>
                <w:sz w:val="20"/>
              </w:rPr>
            </w:pPr>
            <w:r w:rsidRPr="00FB6DB4">
              <w:rPr>
                <w:sz w:val="20"/>
              </w:rPr>
              <w:t>Verrichtung von Arbeiten „Hand in Hand“ mit and</w:t>
            </w:r>
            <w:r w:rsidRPr="00FB6DB4">
              <w:rPr>
                <w:sz w:val="20"/>
              </w:rPr>
              <w:t>e</w:t>
            </w:r>
            <w:r w:rsidRPr="00FB6DB4">
              <w:rPr>
                <w:sz w:val="20"/>
              </w:rPr>
              <w:t>ren Beschäftigten des Au</w:t>
            </w:r>
            <w:r w:rsidRPr="00FB6DB4">
              <w:rPr>
                <w:sz w:val="20"/>
              </w:rPr>
              <w:t>f</w:t>
            </w:r>
            <w:r w:rsidRPr="00FB6DB4">
              <w:rPr>
                <w:sz w:val="20"/>
              </w:rPr>
              <w:t>traggebers und Angewi</w:t>
            </w:r>
            <w:r w:rsidRPr="00FB6DB4">
              <w:rPr>
                <w:sz w:val="20"/>
              </w:rPr>
              <w:t>e</w:t>
            </w:r>
            <w:r w:rsidRPr="00FB6DB4">
              <w:rPr>
                <w:sz w:val="20"/>
              </w:rPr>
              <w:t>senheit des Auftragne</w:t>
            </w:r>
            <w:r w:rsidRPr="00FB6DB4">
              <w:rPr>
                <w:sz w:val="20"/>
              </w:rPr>
              <w:t>h</w:t>
            </w:r>
            <w:r w:rsidRPr="00FB6DB4">
              <w:rPr>
                <w:sz w:val="20"/>
              </w:rPr>
              <w:t>mers auf deren Mitarbeit und Mitwirken</w:t>
            </w:r>
          </w:p>
        </w:tc>
        <w:tc>
          <w:tcPr>
            <w:tcW w:w="2033" w:type="dxa"/>
          </w:tcPr>
          <w:p w:rsidR="00A101BE" w:rsidRPr="00FB6DB4" w:rsidRDefault="00A101BE" w:rsidP="00EA2EDE">
            <w:pPr>
              <w:spacing w:before="40" w:after="40" w:line="220" w:lineRule="exact"/>
              <w:jc w:val="left"/>
              <w:rPr>
                <w:sz w:val="20"/>
              </w:rPr>
            </w:pPr>
            <w:r w:rsidRPr="00FB6DB4">
              <w:rPr>
                <w:sz w:val="20"/>
              </w:rPr>
              <w:t>Beschäftigung und Bezahlung eigenen Personals</w:t>
            </w:r>
          </w:p>
        </w:tc>
      </w:tr>
      <w:tr w:rsidR="00A101BE" w:rsidRPr="00FB6DB4" w:rsidTr="00EA2EDE">
        <w:tc>
          <w:tcPr>
            <w:tcW w:w="2361" w:type="dxa"/>
          </w:tcPr>
          <w:p w:rsidR="00A101BE" w:rsidRPr="00FB6DB4" w:rsidRDefault="00541352" w:rsidP="00541352">
            <w:pPr>
              <w:spacing w:before="40" w:after="40" w:line="220" w:lineRule="exact"/>
              <w:jc w:val="left"/>
              <w:rPr>
                <w:sz w:val="20"/>
              </w:rPr>
            </w:pPr>
            <w:r>
              <w:rPr>
                <w:sz w:val="20"/>
              </w:rPr>
              <w:t>das Fehlen</w:t>
            </w:r>
            <w:r w:rsidRPr="00FB6DB4">
              <w:rPr>
                <w:sz w:val="20"/>
              </w:rPr>
              <w:t xml:space="preserve"> eigene</w:t>
            </w:r>
            <w:r>
              <w:rPr>
                <w:sz w:val="20"/>
              </w:rPr>
              <w:t>r</w:t>
            </w:r>
            <w:r w:rsidRPr="00FB6DB4">
              <w:rPr>
                <w:sz w:val="20"/>
              </w:rPr>
              <w:t xml:space="preserve"> </w:t>
            </w:r>
            <w:r w:rsidR="00A101BE" w:rsidRPr="00FB6DB4">
              <w:rPr>
                <w:sz w:val="20"/>
              </w:rPr>
              <w:t>B</w:t>
            </w:r>
            <w:r w:rsidR="00A101BE" w:rsidRPr="00FB6DB4">
              <w:rPr>
                <w:sz w:val="20"/>
              </w:rPr>
              <w:t>e</w:t>
            </w:r>
            <w:r w:rsidR="00A101BE" w:rsidRPr="00FB6DB4">
              <w:rPr>
                <w:sz w:val="20"/>
              </w:rPr>
              <w:t>triebsmittel</w:t>
            </w:r>
          </w:p>
        </w:tc>
        <w:tc>
          <w:tcPr>
            <w:tcW w:w="2033" w:type="dxa"/>
          </w:tcPr>
          <w:p w:rsidR="00A101BE" w:rsidRPr="00FB6DB4" w:rsidRDefault="00A101BE" w:rsidP="00EA2EDE">
            <w:pPr>
              <w:spacing w:before="40" w:after="40" w:line="220" w:lineRule="exact"/>
              <w:jc w:val="left"/>
              <w:rPr>
                <w:sz w:val="20"/>
              </w:rPr>
            </w:pPr>
            <w:r>
              <w:rPr>
                <w:sz w:val="20"/>
              </w:rPr>
              <w:t>e</w:t>
            </w:r>
            <w:r w:rsidRPr="00FB6DB4">
              <w:rPr>
                <w:sz w:val="20"/>
              </w:rPr>
              <w:t>igene Betriebsmittel, insbesondere eigene Betriebsstätte</w:t>
            </w:r>
          </w:p>
        </w:tc>
      </w:tr>
      <w:tr w:rsidR="00A101BE" w:rsidRPr="00FB6DB4" w:rsidTr="00EA2EDE">
        <w:tc>
          <w:tcPr>
            <w:tcW w:w="2361" w:type="dxa"/>
          </w:tcPr>
          <w:p w:rsidR="00A101BE" w:rsidRPr="00FB6DB4" w:rsidRDefault="00A101BE" w:rsidP="00EA2EDE">
            <w:pPr>
              <w:spacing w:before="40" w:after="40" w:line="220" w:lineRule="exact"/>
              <w:jc w:val="left"/>
              <w:rPr>
                <w:sz w:val="20"/>
              </w:rPr>
            </w:pPr>
            <w:r>
              <w:rPr>
                <w:sz w:val="20"/>
              </w:rPr>
              <w:t>g</w:t>
            </w:r>
            <w:r w:rsidRPr="00FB6DB4">
              <w:rPr>
                <w:sz w:val="20"/>
              </w:rPr>
              <w:t>eschäftliches Auftreten im Namen des Auftragg</w:t>
            </w:r>
            <w:r w:rsidRPr="00FB6DB4">
              <w:rPr>
                <w:sz w:val="20"/>
              </w:rPr>
              <w:t>e</w:t>
            </w:r>
            <w:r w:rsidRPr="00FB6DB4">
              <w:rPr>
                <w:sz w:val="20"/>
              </w:rPr>
              <w:t>bers</w:t>
            </w:r>
          </w:p>
        </w:tc>
        <w:tc>
          <w:tcPr>
            <w:tcW w:w="2033" w:type="dxa"/>
          </w:tcPr>
          <w:p w:rsidR="00A101BE" w:rsidRPr="00FB6DB4" w:rsidRDefault="00A101BE" w:rsidP="00DC6946">
            <w:pPr>
              <w:spacing w:before="40" w:after="40" w:line="220" w:lineRule="exact"/>
              <w:jc w:val="left"/>
              <w:rPr>
                <w:sz w:val="20"/>
              </w:rPr>
            </w:pPr>
            <w:r>
              <w:rPr>
                <w:sz w:val="20"/>
              </w:rPr>
              <w:t>e</w:t>
            </w:r>
            <w:r w:rsidRPr="00FB6DB4">
              <w:rPr>
                <w:sz w:val="20"/>
              </w:rPr>
              <w:t>igenes Auftreten</w:t>
            </w:r>
            <w:r>
              <w:rPr>
                <w:sz w:val="20"/>
              </w:rPr>
              <w:t xml:space="preserve"> am Markt,</w:t>
            </w:r>
            <w:r w:rsidRPr="00FB6DB4">
              <w:rPr>
                <w:sz w:val="20"/>
              </w:rPr>
              <w:t xml:space="preserve"> Werb</w:t>
            </w:r>
            <w:r w:rsidR="00601FCC">
              <w:rPr>
                <w:sz w:val="20"/>
              </w:rPr>
              <w:t>ema</w:t>
            </w:r>
            <w:r w:rsidR="00601FCC">
              <w:rPr>
                <w:sz w:val="20"/>
              </w:rPr>
              <w:t>ß</w:t>
            </w:r>
            <w:r w:rsidR="00601FCC">
              <w:rPr>
                <w:sz w:val="20"/>
              </w:rPr>
              <w:t>nahmen</w:t>
            </w:r>
          </w:p>
        </w:tc>
      </w:tr>
      <w:tr w:rsidR="00A101BE" w:rsidRPr="00FB6DB4" w:rsidTr="00EA2EDE">
        <w:tc>
          <w:tcPr>
            <w:tcW w:w="2361" w:type="dxa"/>
          </w:tcPr>
          <w:p w:rsidR="00A101BE" w:rsidRPr="00FB6DB4" w:rsidRDefault="00A101BE" w:rsidP="00EA2EDE">
            <w:pPr>
              <w:spacing w:before="40" w:after="40" w:line="220" w:lineRule="exact"/>
              <w:jc w:val="left"/>
              <w:rPr>
                <w:sz w:val="20"/>
              </w:rPr>
            </w:pPr>
            <w:r>
              <w:rPr>
                <w:sz w:val="20"/>
              </w:rPr>
              <w:t>f</w:t>
            </w:r>
            <w:r w:rsidRPr="00FB6DB4">
              <w:rPr>
                <w:sz w:val="20"/>
              </w:rPr>
              <w:t>este, gleichbleibende Vergütung</w:t>
            </w:r>
          </w:p>
        </w:tc>
        <w:tc>
          <w:tcPr>
            <w:tcW w:w="2033" w:type="dxa"/>
          </w:tcPr>
          <w:p w:rsidR="00A101BE" w:rsidRPr="00FB6DB4" w:rsidRDefault="00A101BE" w:rsidP="00EA2EDE">
            <w:pPr>
              <w:spacing w:before="40" w:after="40" w:line="220" w:lineRule="exact"/>
              <w:jc w:val="left"/>
              <w:rPr>
                <w:sz w:val="20"/>
              </w:rPr>
            </w:pPr>
            <w:r>
              <w:rPr>
                <w:sz w:val="20"/>
              </w:rPr>
              <w:t>e</w:t>
            </w:r>
            <w:r w:rsidRPr="00FB6DB4">
              <w:rPr>
                <w:sz w:val="20"/>
              </w:rPr>
              <w:t>igenes Vergütungsr</w:t>
            </w:r>
            <w:r w:rsidRPr="00FB6DB4">
              <w:rPr>
                <w:sz w:val="20"/>
              </w:rPr>
              <w:t>i</w:t>
            </w:r>
            <w:r w:rsidRPr="00FB6DB4">
              <w:rPr>
                <w:sz w:val="20"/>
              </w:rPr>
              <w:t>siko (</w:t>
            </w:r>
            <w:r>
              <w:rPr>
                <w:sz w:val="20"/>
              </w:rPr>
              <w:t>k</w:t>
            </w:r>
            <w:r w:rsidRPr="00FB6DB4">
              <w:rPr>
                <w:sz w:val="20"/>
              </w:rPr>
              <w:t>eine Arbeit = kein Lohn)</w:t>
            </w:r>
          </w:p>
        </w:tc>
      </w:tr>
      <w:tr w:rsidR="00A101BE" w:rsidRPr="00FB6DB4" w:rsidTr="00EA2EDE">
        <w:tc>
          <w:tcPr>
            <w:tcW w:w="2361" w:type="dxa"/>
          </w:tcPr>
          <w:p w:rsidR="00A101BE" w:rsidRPr="00FB6DB4" w:rsidRDefault="00A101BE" w:rsidP="00EA2EDE">
            <w:pPr>
              <w:spacing w:before="40" w:after="40" w:line="220" w:lineRule="exact"/>
              <w:jc w:val="left"/>
              <w:rPr>
                <w:sz w:val="20"/>
              </w:rPr>
            </w:pPr>
            <w:r>
              <w:rPr>
                <w:sz w:val="20"/>
              </w:rPr>
              <w:t>b</w:t>
            </w:r>
            <w:r w:rsidRPr="00FB6DB4">
              <w:rPr>
                <w:sz w:val="20"/>
              </w:rPr>
              <w:t>ezahlter Urlaub</w:t>
            </w:r>
          </w:p>
        </w:tc>
        <w:tc>
          <w:tcPr>
            <w:tcW w:w="2033" w:type="dxa"/>
          </w:tcPr>
          <w:p w:rsidR="00A101BE" w:rsidRPr="00FB6DB4" w:rsidRDefault="00601FCC" w:rsidP="00EA2EDE">
            <w:pPr>
              <w:spacing w:before="40" w:after="40" w:line="220" w:lineRule="exact"/>
              <w:jc w:val="left"/>
              <w:rPr>
                <w:sz w:val="20"/>
              </w:rPr>
            </w:pPr>
            <w:r>
              <w:rPr>
                <w:sz w:val="20"/>
              </w:rPr>
              <w:t>–</w:t>
            </w:r>
          </w:p>
        </w:tc>
      </w:tr>
      <w:tr w:rsidR="00A101BE" w:rsidRPr="00FB6DB4" w:rsidTr="00EA2EDE">
        <w:tc>
          <w:tcPr>
            <w:tcW w:w="2361" w:type="dxa"/>
          </w:tcPr>
          <w:p w:rsidR="00A101BE" w:rsidRPr="00FB6DB4" w:rsidRDefault="00A101BE" w:rsidP="00EA2EDE">
            <w:pPr>
              <w:spacing w:before="40" w:after="40" w:line="220" w:lineRule="exact"/>
              <w:jc w:val="left"/>
              <w:rPr>
                <w:sz w:val="20"/>
              </w:rPr>
            </w:pPr>
            <w:r w:rsidRPr="00FB6DB4">
              <w:rPr>
                <w:sz w:val="20"/>
              </w:rPr>
              <w:t>Lohnfortzahlung im Krankheitsfall</w:t>
            </w:r>
          </w:p>
        </w:tc>
        <w:tc>
          <w:tcPr>
            <w:tcW w:w="2033" w:type="dxa"/>
          </w:tcPr>
          <w:p w:rsidR="00A101BE" w:rsidRPr="00FB6DB4" w:rsidRDefault="00601FCC" w:rsidP="00EA2EDE">
            <w:pPr>
              <w:spacing w:before="40" w:after="40" w:line="220" w:lineRule="exact"/>
              <w:jc w:val="left"/>
              <w:rPr>
                <w:sz w:val="20"/>
              </w:rPr>
            </w:pPr>
            <w:r>
              <w:rPr>
                <w:sz w:val="20"/>
              </w:rPr>
              <w:t>–</w:t>
            </w:r>
          </w:p>
        </w:tc>
      </w:tr>
    </w:tbl>
    <w:p w:rsidR="00A101BE" w:rsidRDefault="00A101BE" w:rsidP="00A101BE">
      <w:pPr>
        <w:shd w:val="clear" w:color="auto" w:fill="E6E6E6"/>
        <w:spacing w:before="160"/>
        <w:ind w:left="284"/>
      </w:pPr>
      <w:r>
        <w:rPr>
          <w:b/>
        </w:rPr>
        <w:t>Hinweis:</w:t>
      </w:r>
      <w:r>
        <w:t xml:space="preserve"> Beachten Sie, dass allein die B</w:t>
      </w:r>
      <w:r>
        <w:t>e</w:t>
      </w:r>
      <w:r>
        <w:t>zeichnung des Vertrags nicht zu einem „freien Beschäftigungsverhältni</w:t>
      </w:r>
      <w:r w:rsidR="00DC6946">
        <w:t xml:space="preserve">s“ führen kann, wenn es anders </w:t>
      </w:r>
      <w:r>
        <w:t>gelebt wird.</w:t>
      </w:r>
    </w:p>
    <w:p w:rsidR="00A101BE" w:rsidRDefault="00A101BE" w:rsidP="00A101BE">
      <w:pPr>
        <w:pStyle w:val="berschrift2"/>
      </w:pPr>
      <w:r w:rsidRPr="00F21492">
        <w:t>Rechtsform</w:t>
      </w:r>
      <w:r>
        <w:tab/>
      </w:r>
    </w:p>
    <w:p w:rsidR="00A101BE" w:rsidRDefault="00A101BE" w:rsidP="00A101BE">
      <w:pPr>
        <w:pStyle w:val="berschrift1"/>
      </w:pPr>
      <w:r>
        <w:t>Privilegierung gemeinnütziger Vereine bei Rundfunkbeiträgen ist zulässig</w:t>
      </w:r>
    </w:p>
    <w:p w:rsidR="00A101BE" w:rsidRDefault="005D2E91" w:rsidP="00A101BE">
      <w:r>
        <w:rPr>
          <w:noProof/>
        </w:rPr>
        <w:pict>
          <v:shapetype id="_x0000_t202" coordsize="21600,21600" o:spt="202" path="m,l,21600r21600,l21600,xe">
            <v:stroke joinstyle="miter"/>
            <v:path gradientshapeok="t" o:connecttype="rect"/>
          </v:shapetype>
          <v:shape id="_x0000_s1026" type="#_x0000_t202" style="position:absolute;left:0;text-align:left;margin-left:-7.3pt;margin-top:54.6pt;width:492pt;height:60pt;flip:y;z-index:1" filled="f" stroked="f">
            <v:textbox style="mso-next-textbox:#_x0000_s1026">
              <w:txbxContent>
                <w:p w:rsidR="005A34BA" w:rsidRDefault="005A34BA" w:rsidP="005A34BA">
                  <w:pPr>
                    <w:tabs>
                      <w:tab w:val="right" w:pos="9498"/>
                    </w:tabs>
                    <w:spacing w:after="40" w:line="170" w:lineRule="exact"/>
                    <w:rPr>
                      <w:rFonts w:ascii="Arial" w:hAnsi="Arial"/>
                      <w:sz w:val="16"/>
                    </w:rPr>
                  </w:pPr>
                  <w:r>
                    <w:rPr>
                      <w:rFonts w:ascii="Arial" w:hAnsi="Arial"/>
                      <w:spacing w:val="-2"/>
                      <w:sz w:val="16"/>
                      <w:szCs w:val="16"/>
                    </w:rPr>
                    <w:t>                                                                                                                                                                                                                                                                                                                                                                                                                                                                                                                                                                                                                                                                                                                                                                                                                                                                                                                                                                                                                                                                                                        </w:t>
                  </w:r>
                </w:p>
                <w:p w:rsidR="005A34BA" w:rsidRDefault="005A34BA" w:rsidP="005A34BA">
                  <w:pPr>
                    <w:tabs>
                      <w:tab w:val="right" w:pos="9498"/>
                    </w:tabs>
                    <w:spacing w:after="40" w:line="170" w:lineRule="exact"/>
                    <w:jc w:val="right"/>
                  </w:pPr>
                  <w:r>
                    <w:rPr>
                      <w:rFonts w:ascii="Arial" w:hAnsi="Arial"/>
                      <w:sz w:val="16"/>
                    </w:rPr>
                    <w:t>Alle Informationen nach bestem Wissen, jedoch ohne Gewähr. Diese Information ersetzt nicht die individuelle Beratung!</w:t>
                  </w:r>
                </w:p>
              </w:txbxContent>
            </v:textbox>
          </v:shape>
        </w:pict>
      </w:r>
      <w:r w:rsidR="00A101BE">
        <w:t>Die Rundfunkbeitragspflicht ist nicht nur im pr</w:t>
      </w:r>
      <w:r w:rsidR="00A101BE">
        <w:t>i</w:t>
      </w:r>
      <w:r w:rsidR="00A101BE">
        <w:t xml:space="preserve">vaten Bereich ein Zankapfel, sondern auch unter gemeinnützigen Einrichtungen. Beitragsrechtlich sind gemeinnützige Organisationen (umfassend) </w:t>
      </w:r>
      <w:r w:rsidR="00A101BE">
        <w:lastRenderedPageBreak/>
        <w:t xml:space="preserve">privilegiert. Voraussetzung ist allerdings, dass sie in der </w:t>
      </w:r>
      <w:r w:rsidR="00A101BE" w:rsidRPr="00F21492">
        <w:t>Rechtsform</w:t>
      </w:r>
      <w:r w:rsidR="00A101BE">
        <w:t xml:space="preserve"> eingetragener Vereine und Stiftungen organisiert und als gemeinnützig ane</w:t>
      </w:r>
      <w:r w:rsidR="00A101BE">
        <w:t>r</w:t>
      </w:r>
      <w:r w:rsidR="00A101BE">
        <w:t xml:space="preserve">kannt sind. Eine </w:t>
      </w:r>
      <w:r w:rsidR="00A101BE" w:rsidRPr="00F21492">
        <w:rPr>
          <w:b/>
        </w:rPr>
        <w:t>gemeinnützige GmbH</w:t>
      </w:r>
      <w:r w:rsidR="00A101BE">
        <w:t xml:space="preserve"> ist de</w:t>
      </w:r>
      <w:r w:rsidR="00A101BE">
        <w:t>m</w:t>
      </w:r>
      <w:r w:rsidR="00A101BE">
        <w:t>gegenüber von dieser Beitragsprivilegierung au</w:t>
      </w:r>
      <w:r w:rsidR="00A101BE">
        <w:t>s</w:t>
      </w:r>
      <w:r w:rsidR="00A101BE">
        <w:t>geschlossen, wie das Oberverwaltungsgericht Lüneburg bestätigt hat.</w:t>
      </w:r>
    </w:p>
    <w:p w:rsidR="00A101BE" w:rsidRDefault="00A101BE" w:rsidP="00A101BE">
      <w:pPr>
        <w:pStyle w:val="berschrift2"/>
      </w:pPr>
      <w:r>
        <w:t>Steuertipp</w:t>
      </w:r>
      <w:r>
        <w:tab/>
      </w:r>
    </w:p>
    <w:p w:rsidR="00A101BE" w:rsidRDefault="00A101BE" w:rsidP="00A101BE">
      <w:pPr>
        <w:pStyle w:val="berschrift1"/>
      </w:pPr>
      <w:r>
        <w:t>Fast zwei Drittel der Einsprüche beim Finanzamt haben Erfolg</w:t>
      </w:r>
    </w:p>
    <w:p w:rsidR="00A101BE" w:rsidRDefault="00A101BE" w:rsidP="00A101BE">
      <w:r>
        <w:t>Nach einer aktuellen Statistik des Bundesfinan</w:t>
      </w:r>
      <w:r>
        <w:t>z</w:t>
      </w:r>
      <w:r>
        <w:t xml:space="preserve">ministeriums haben Steuerzahler im Jahr 2021 insgesamt 3.047.803 </w:t>
      </w:r>
      <w:r>
        <w:rPr>
          <w:b/>
        </w:rPr>
        <w:t>Einsprüche bei den F</w:t>
      </w:r>
      <w:r>
        <w:rPr>
          <w:b/>
        </w:rPr>
        <w:t>i</w:t>
      </w:r>
      <w:r>
        <w:rPr>
          <w:b/>
        </w:rPr>
        <w:t>nanzämtern</w:t>
      </w:r>
      <w:r>
        <w:t xml:space="preserve"> eingelegt. Zusammen mit den une</w:t>
      </w:r>
      <w:r>
        <w:t>r</w:t>
      </w:r>
      <w:r>
        <w:t>ledigten Einsprüchen aus den Vorjahren hatten die Finanzämter damit über 5,6 Mi</w:t>
      </w:r>
      <w:r w:rsidR="00DA185B">
        <w:t>o.</w:t>
      </w:r>
      <w:r>
        <w:t xml:space="preserve"> Ei</w:t>
      </w:r>
      <w:r>
        <w:t>n</w:t>
      </w:r>
      <w:r>
        <w:t>sprüche zu bearbeiten.</w:t>
      </w:r>
    </w:p>
    <w:p w:rsidR="00A101BE" w:rsidRDefault="00A101BE" w:rsidP="00A101BE">
      <w:r>
        <w:t>In fast zwei Drittel der Fälle (63,4 %) waren die Steuerzahler mit ihrem Einspruch erfolgreich, so dass die Bescheide zu ihren Gunsten geändert wurden. Tatsächlich oder zumindest teilweise e</w:t>
      </w:r>
      <w:r>
        <w:t>r</w:t>
      </w:r>
      <w:r>
        <w:t>folglos blieben nach der Statistik nur 16,2 % der Einsprüche. In diesen Fällen wurde durch (Teil-)</w:t>
      </w:r>
      <w:bookmarkStart w:id="0" w:name="_GoBack"/>
      <w:bookmarkEnd w:id="0"/>
      <w:r>
        <w:t>Einspruchsentscheidung ganz oder teilweise a</w:t>
      </w:r>
      <w:r>
        <w:t>b</w:t>
      </w:r>
      <w:r>
        <w:t>schlägig über die Einsprüche entschieden. 19,8 % der Einsprüche nahmen die Einspruchsführer z</w:t>
      </w:r>
      <w:r>
        <w:t>u</w:t>
      </w:r>
      <w:r>
        <w:t>dem selbst wieder zurück.</w:t>
      </w:r>
    </w:p>
    <w:p w:rsidR="00A101BE" w:rsidRDefault="00A101BE" w:rsidP="00A101BE">
      <w:pPr>
        <w:shd w:val="clear" w:color="auto" w:fill="E6E6E6"/>
        <w:ind w:left="284"/>
      </w:pPr>
      <w:r>
        <w:rPr>
          <w:b/>
        </w:rPr>
        <w:t>Hinweis:</w:t>
      </w:r>
      <w:r>
        <w:t xml:space="preserve"> Die hohe Erfolgsquote bei den Ei</w:t>
      </w:r>
      <w:r>
        <w:t>n</w:t>
      </w:r>
      <w:r>
        <w:t>sprüchen zeigt, dass es sich durchaus lohnen kann, Einspruch gegen den eigenen Steuerb</w:t>
      </w:r>
      <w:r>
        <w:t>e</w:t>
      </w:r>
      <w:r>
        <w:t>scheid einzulegen. In die Statistik fallen aber auch „Einspruchserfolge“, die dadurch entst</w:t>
      </w:r>
      <w:r>
        <w:t>e</w:t>
      </w:r>
      <w:r>
        <w:t>hen, dass der Steuerzahler per Einspruch zum Beispiel eigene Fehler korrigiert und verge</w:t>
      </w:r>
      <w:r>
        <w:t>s</w:t>
      </w:r>
      <w:r>
        <w:t>sene absetzbare Kosten nacherklärt.</w:t>
      </w:r>
    </w:p>
    <w:p w:rsidR="00A101BE" w:rsidRDefault="00A101BE" w:rsidP="00A101BE">
      <w:r w:rsidRPr="009954EC">
        <w:t xml:space="preserve">Steuerbescheide sind </w:t>
      </w:r>
      <w:r w:rsidRPr="009954EC">
        <w:rPr>
          <w:b/>
        </w:rPr>
        <w:t>zeitnah</w:t>
      </w:r>
      <w:r w:rsidRPr="009954EC">
        <w:t xml:space="preserve"> nach Erhalt auf Richtigkeit </w:t>
      </w:r>
      <w:r w:rsidRPr="009954EC">
        <w:rPr>
          <w:b/>
        </w:rPr>
        <w:t>zu prüfen</w:t>
      </w:r>
      <w:r w:rsidRPr="009954EC">
        <w:t>, denn Einsprüche müssen innerhalb eines Monats nach</w:t>
      </w:r>
      <w:r>
        <w:t xml:space="preserve"> Erhalt des B</w:t>
      </w:r>
      <w:r>
        <w:t>e</w:t>
      </w:r>
      <w:r>
        <w:t>scheids schriftlich beim jeweils zuständigen F</w:t>
      </w:r>
      <w:r>
        <w:t>i</w:t>
      </w:r>
      <w:r>
        <w:t>nanzamt eingehen.</w:t>
      </w:r>
    </w:p>
    <w:p w:rsidR="00A101BE" w:rsidRDefault="00A101BE" w:rsidP="00A101BE">
      <w:pPr>
        <w:shd w:val="clear" w:color="auto" w:fill="E6E6E6"/>
        <w:ind w:left="284"/>
      </w:pPr>
      <w:r>
        <w:rPr>
          <w:b/>
        </w:rPr>
        <w:t>Hinweis:</w:t>
      </w:r>
      <w:r>
        <w:t xml:space="preserve"> Selbstverständlich prüfen wir Ihre Steuerbescheide zeitnah und kümmern uns bei fehlerhaften Bescheiden um Ihren Recht</w:t>
      </w:r>
      <w:r>
        <w:t>s</w:t>
      </w:r>
      <w:r>
        <w:t>schutz. Da das Einspruchsverfahren seine T</w:t>
      </w:r>
      <w:r>
        <w:t>ü</w:t>
      </w:r>
      <w:r>
        <w:t>cken hat, sollten Sie bei Einsprüchen auf u</w:t>
      </w:r>
      <w:r>
        <w:t>n</w:t>
      </w:r>
      <w:r>
        <w:t>sere Expertise setzen.</w:t>
      </w:r>
    </w:p>
    <w:p w:rsidR="00BE1449" w:rsidRDefault="00F91FB1" w:rsidP="00F91FB1">
      <w:pPr>
        <w:jc w:val="right"/>
      </w:pPr>
      <w:r>
        <w:t>Mit freundlichen Grüßen</w:t>
      </w:r>
    </w:p>
    <w:p w:rsidR="00D94A15" w:rsidRDefault="00D94A15" w:rsidP="00F91FB1">
      <w:pPr>
        <w:jc w:val="right"/>
      </w:pPr>
    </w:p>
    <w:p w:rsidR="00F91FB1" w:rsidRDefault="00F91FB1" w:rsidP="00F91FB1">
      <w:pPr>
        <w:jc w:val="right"/>
      </w:pPr>
    </w:p>
    <w:p w:rsidR="003447C0" w:rsidRDefault="003447C0" w:rsidP="00F91FB1">
      <w:pPr>
        <w:jc w:val="right"/>
      </w:pPr>
    </w:p>
    <w:sectPr w:rsidR="003447C0" w:rsidSect="00BE1449">
      <w:headerReference w:type="even" r:id="rId12"/>
      <w:headerReference w:type="default" r:id="rId13"/>
      <w:footerReference w:type="default" r:id="rId14"/>
      <w:footnotePr>
        <w:numRestart w:val="eachSect"/>
      </w:footnotePr>
      <w:pgSz w:w="11907" w:h="16840" w:code="9"/>
      <w:pgMar w:top="1134" w:right="1134" w:bottom="1418" w:left="1247" w:header="720" w:footer="1418" w:gutter="0"/>
      <w:cols w:num="2"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E91" w:rsidRDefault="005D2E91">
      <w:r>
        <w:separator/>
      </w:r>
    </w:p>
  </w:endnote>
  <w:endnote w:type="continuationSeparator" w:id="0">
    <w:p w:rsidR="005D2E91" w:rsidRDefault="005D2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B96" w:rsidRPr="00FD6C18" w:rsidRDefault="009B2B96" w:rsidP="00FD6C1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E91" w:rsidRDefault="005D2E91">
      <w:r>
        <w:separator/>
      </w:r>
    </w:p>
  </w:footnote>
  <w:footnote w:type="continuationSeparator" w:id="0">
    <w:p w:rsidR="005D2E91" w:rsidRDefault="005D2E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B96" w:rsidRDefault="009B2B96">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CA3115">
      <w:rPr>
        <w:rFonts w:ascii="Arial" w:hAnsi="Arial" w:cs="Arial"/>
        <w:sz w:val="16"/>
      </w:rPr>
      <w:t>01/23</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9622C5">
      <w:rPr>
        <w:rFonts w:ascii="Arial" w:hAnsi="Arial" w:cs="Arial"/>
        <w:noProof/>
        <w:sz w:val="16"/>
      </w:rPr>
      <w:t>2</w:t>
    </w:r>
    <w:r>
      <w:rPr>
        <w:rFonts w:ascii="Arial" w:hAnsi="Arial" w:cs="Arial"/>
        <w:sz w:val="16"/>
      </w:rPr>
      <w:fldChar w:fldCharType="end"/>
    </w:r>
  </w:p>
  <w:p w:rsidR="009B2B96" w:rsidRDefault="009B2B96">
    <w:pPr>
      <w:tabs>
        <w:tab w:val="left" w:pos="360"/>
        <w:tab w:val="left" w:pos="840"/>
        <w:tab w:val="right" w:pos="9120"/>
      </w:tabs>
      <w:spacing w:after="0"/>
      <w:rPr>
        <w:rFonts w:ascii="Arial" w:hAnsi="Arial" w:cs="Arial"/>
        <w:spacing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B96" w:rsidRDefault="009B2B96">
    <w:pPr>
      <w:tabs>
        <w:tab w:val="clear" w:pos="1152"/>
        <w:tab w:val="clear" w:pos="2448"/>
        <w:tab w:val="clear" w:pos="8496"/>
        <w:tab w:val="left" w:pos="360"/>
        <w:tab w:val="left" w:pos="840"/>
        <w:tab w:val="right" w:pos="9120"/>
      </w:tabs>
      <w:spacing w:after="0"/>
      <w:jc w:val="right"/>
      <w:rPr>
        <w:rFonts w:ascii="Arial" w:hAnsi="Arial" w:cs="Arial"/>
        <w:spacing w:val="-15"/>
      </w:rPr>
    </w:pPr>
    <w:r>
      <w:rPr>
        <w:rFonts w:ascii="Arial" w:hAnsi="Arial" w:cs="Arial"/>
        <w:sz w:val="16"/>
      </w:rPr>
      <w:t xml:space="preserve">Mandanten-Information für Vereine </w:t>
    </w:r>
    <w:r w:rsidR="00CA3115">
      <w:rPr>
        <w:rFonts w:ascii="Arial" w:hAnsi="Arial" w:cs="Arial"/>
        <w:sz w:val="16"/>
      </w:rPr>
      <w:t>01/23</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9622C5">
      <w:rPr>
        <w:rFonts w:ascii="Arial" w:hAnsi="Arial" w:cs="Arial"/>
        <w:noProof/>
        <w:sz w:val="16"/>
      </w:rPr>
      <w:t>3</w:t>
    </w:r>
    <w:r>
      <w:rPr>
        <w:rFonts w:ascii="Arial" w:hAnsi="Arial" w:cs="Arial"/>
        <w:sz w:val="16"/>
      </w:rPr>
      <w:fldChar w:fldCharType="end"/>
    </w:r>
  </w:p>
  <w:p w:rsidR="009B2B96" w:rsidRDefault="009B2B96">
    <w:pPr>
      <w:tabs>
        <w:tab w:val="left" w:pos="360"/>
        <w:tab w:val="left" w:pos="840"/>
        <w:tab w:val="right" w:pos="9120"/>
      </w:tabs>
      <w:spacing w:after="0"/>
      <w:rPr>
        <w:rFonts w:ascii="Arial" w:hAnsi="Arial" w:cs="Arial"/>
        <w:spacing w:val="-15"/>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B96" w:rsidRDefault="009B2B96">
    <w:pPr>
      <w:spacing w:before="2200" w:line="280" w:lineRule="exact"/>
      <w:jc w:val="center"/>
      <w:rPr>
        <w:b/>
        <w:bCs/>
        <w:sz w:val="28"/>
      </w:rPr>
    </w:pPr>
    <w:r>
      <w:rPr>
        <w:b/>
        <w:bCs/>
        <w:sz w:val="28"/>
      </w:rPr>
      <w:t xml:space="preserve"> </w:t>
    </w:r>
  </w:p>
  <w:p w:rsidR="009B2B96" w:rsidRDefault="009B2B96">
    <w:pPr>
      <w:jc w:val="center"/>
      <w:rPr>
        <w:rFonts w:ascii="Arial" w:hAnsi="Arial" w:cs="Arial"/>
        <w:sz w:val="20"/>
      </w:rPr>
    </w:pPr>
    <w:r>
      <w:rPr>
        <w:rFonts w:ascii="Arial" w:hAnsi="Arial" w:cs="Arial"/>
        <w:sz w:val="20"/>
      </w:rPr>
      <w:t xml:space="preserve"> </w:t>
    </w:r>
  </w:p>
  <w:p w:rsidR="009B2B96" w:rsidRDefault="009B2B96">
    <w:pPr>
      <w:spacing w:after="800"/>
      <w:jc w:val="center"/>
      <w:rPr>
        <w:rFonts w:ascii="Arial" w:hAnsi="Arial" w:cs="Arial"/>
        <w:sz w:val="18"/>
      </w:rPr>
    </w:pPr>
    <w:r>
      <w:rPr>
        <w:rFonts w:ascii="Arial" w:hAnsi="Arial" w:cs="Arial"/>
        <w:sz w:val="20"/>
      </w:rPr>
      <w:t xml:space="preserve"> </w:t>
    </w:r>
  </w:p>
  <w:p w:rsidR="009B2B96" w:rsidRDefault="005D2E91">
    <w:pPr>
      <w:rPr>
        <w:rFonts w:ascii="Helvetica" w:hAnsi="Helvetica"/>
      </w:rPr>
    </w:pPr>
    <w:r>
      <w:rPr>
        <w:noProof/>
        <w:sz w:val="20"/>
      </w:rPr>
      <w:pict w14:anchorId="65EDD6FE">
        <v:line id="_x0000_s2049" style="position:absolute;left:0;text-align:left;z-index:1" from="-1.35pt,7.15pt" to="474.85pt,7.15pt" strokeweight="1.5pt"/>
      </w:pict>
    </w:r>
  </w:p>
  <w:p w:rsidR="009B2B96" w:rsidRPr="003A7B0B" w:rsidRDefault="009B2B96">
    <w:pPr>
      <w:tabs>
        <w:tab w:val="clear" w:pos="1152"/>
        <w:tab w:val="clear" w:pos="2448"/>
        <w:tab w:val="clear" w:pos="8496"/>
        <w:tab w:val="left" w:pos="360"/>
      </w:tabs>
      <w:spacing w:after="0" w:line="360" w:lineRule="exact"/>
      <w:jc w:val="center"/>
      <w:rPr>
        <w:rFonts w:ascii="Arial" w:hAnsi="Arial" w:cs="Arial"/>
        <w:b/>
        <w:sz w:val="32"/>
        <w:szCs w:val="32"/>
      </w:rPr>
    </w:pPr>
    <w:r w:rsidRPr="003A7B0B">
      <w:rPr>
        <w:rFonts w:ascii="Arial" w:hAnsi="Arial" w:cs="Arial"/>
        <w:b/>
        <w:sz w:val="32"/>
        <w:szCs w:val="32"/>
      </w:rPr>
      <w:t>Mandanten-Information für Vereine</w:t>
    </w:r>
  </w:p>
  <w:p w:rsidR="009B2B96" w:rsidRDefault="005D2E91">
    <w:pPr>
      <w:tabs>
        <w:tab w:val="clear" w:pos="1152"/>
        <w:tab w:val="clear" w:pos="2448"/>
        <w:tab w:val="clear" w:pos="8496"/>
        <w:tab w:val="left" w:pos="360"/>
        <w:tab w:val="left" w:pos="840"/>
        <w:tab w:val="right" w:pos="9120"/>
      </w:tabs>
      <w:spacing w:after="0"/>
      <w:rPr>
        <w:rFonts w:ascii="Helvetica" w:hAnsi="Helvetica"/>
        <w:spacing w:val="-15"/>
        <w:sz w:val="20"/>
      </w:rPr>
    </w:pPr>
    <w:r>
      <w:rPr>
        <w:rFonts w:ascii="Helvetica" w:hAnsi="Helvetica"/>
        <w:noProof/>
        <w:spacing w:val="-15"/>
        <w:sz w:val="20"/>
      </w:rPr>
      <w:pict w14:anchorId="705DB359">
        <v:line id="_x0000_s2050" style="position:absolute;left:0;text-align:left;z-index:2" from="-1.35pt,7.15pt" to="474.85pt,7.15pt" strokeweight="1.5pt"/>
      </w:pict>
    </w:r>
  </w:p>
  <w:p w:rsidR="009B2B96" w:rsidRDefault="009B2B96">
    <w:pPr>
      <w:pStyle w:val="berschrift"/>
      <w:spacing w:before="400" w:after="400"/>
      <w:jc w:val="right"/>
    </w:pPr>
    <w:r>
      <w:t>Im Januar 20</w:t>
    </w:r>
    <w:r w:rsidR="009F3A29">
      <w:t>2</w:t>
    </w:r>
    <w:r w:rsidR="00CA3115">
      <w:t>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B96" w:rsidRDefault="009B2B96" w:rsidP="00C252B1">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CA3115">
      <w:rPr>
        <w:rFonts w:ascii="Arial" w:hAnsi="Arial" w:cs="Arial"/>
        <w:sz w:val="16"/>
      </w:rPr>
      <w:t>01/23</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9622C5">
      <w:rPr>
        <w:rFonts w:ascii="Arial" w:hAnsi="Arial" w:cs="Arial"/>
        <w:noProof/>
        <w:sz w:val="16"/>
      </w:rPr>
      <w:t>4</w:t>
    </w:r>
    <w:r>
      <w:rPr>
        <w:rFonts w:ascii="Arial" w:hAnsi="Arial" w:cs="Arial"/>
        <w:sz w:val="16"/>
      </w:rPr>
      <w:fldChar w:fldCharType="end"/>
    </w:r>
  </w:p>
  <w:p w:rsidR="009B2B96" w:rsidRDefault="009B2B96" w:rsidP="00C252B1">
    <w:pPr>
      <w:spacing w:after="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B96" w:rsidRDefault="009B2B96">
    <w:pPr>
      <w:tabs>
        <w:tab w:val="clear" w:pos="1152"/>
        <w:tab w:val="clear" w:pos="2448"/>
        <w:tab w:val="clear" w:pos="8496"/>
        <w:tab w:val="left" w:pos="360"/>
        <w:tab w:val="left" w:pos="840"/>
        <w:tab w:val="right" w:pos="9120"/>
      </w:tabs>
      <w:spacing w:after="0"/>
      <w:jc w:val="right"/>
      <w:rPr>
        <w:spacing w:val="-15"/>
      </w:rPr>
    </w:pPr>
    <w:r>
      <w:rPr>
        <w:rFonts w:ascii="Helvetica" w:hAnsi="Helvetica"/>
        <w:sz w:val="16"/>
      </w:rPr>
      <w:fldChar w:fldCharType="begin"/>
    </w:r>
    <w:r>
      <w:rPr>
        <w:rFonts w:ascii="Helvetica" w:hAnsi="Helvetica"/>
        <w:sz w:val="16"/>
      </w:rPr>
      <w:fldChar w:fldCharType="separate"/>
    </w:r>
    <w:r>
      <w:rPr>
        <w:rFonts w:ascii="Helvetica" w:hAnsi="Helvetica"/>
        <w:noProof/>
        <w:sz w:val="16"/>
      </w:rPr>
      <w:t>5</w:t>
    </w:r>
    <w:r>
      <w:rPr>
        <w:rFonts w:ascii="Helvetica" w:hAnsi="Helvetica"/>
        <w:sz w:val="16"/>
      </w:rPr>
      <w:fldChar w:fldCharType="end"/>
    </w:r>
  </w:p>
  <w:p w:rsidR="009B2B96" w:rsidRDefault="009B2B96">
    <w:pPr>
      <w:pStyle w:val="Fuzeile"/>
      <w:tabs>
        <w:tab w:val="clear" w:pos="4536"/>
        <w:tab w:val="clear" w:pos="9072"/>
        <w:tab w:val="left" w:pos="1152"/>
        <w:tab w:val="left" w:pos="2448"/>
        <w:tab w:val="right" w:pos="8496"/>
      </w:tabs>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79A06EEE"/>
    <w:lvl w:ilvl="0">
      <w:start w:val="1"/>
      <w:numFmt w:val="decimal"/>
      <w:lvlText w:val="%1."/>
      <w:lvlJc w:val="left"/>
      <w:pPr>
        <w:tabs>
          <w:tab w:val="num" w:pos="643"/>
        </w:tabs>
        <w:ind w:left="643" w:hanging="360"/>
      </w:pPr>
    </w:lvl>
  </w:abstractNum>
  <w:abstractNum w:abstractNumId="1">
    <w:nsid w:val="FFFFFF83"/>
    <w:multiLevelType w:val="singleLevel"/>
    <w:tmpl w:val="99DE75F2"/>
    <w:lvl w:ilvl="0">
      <w:start w:val="1"/>
      <w:numFmt w:val="bullet"/>
      <w:lvlText w:val=""/>
      <w:lvlJc w:val="left"/>
      <w:pPr>
        <w:tabs>
          <w:tab w:val="num" w:pos="643"/>
        </w:tabs>
        <w:ind w:left="643" w:hanging="360"/>
      </w:pPr>
      <w:rPr>
        <w:rFonts w:ascii="Symbol" w:hAnsi="Symbol" w:hint="default"/>
      </w:rPr>
    </w:lvl>
  </w:abstractNum>
  <w:abstractNum w:abstractNumId="2">
    <w:nsid w:val="00196579"/>
    <w:multiLevelType w:val="hybridMultilevel"/>
    <w:tmpl w:val="236661B4"/>
    <w:lvl w:ilvl="0" w:tplc="F25428FE">
      <w:start w:val="1"/>
      <w:numFmt w:val="bullet"/>
      <w:pStyle w:val="Aufzhlung"/>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D4D652B"/>
    <w:multiLevelType w:val="hybridMultilevel"/>
    <w:tmpl w:val="B9AA5732"/>
    <w:lvl w:ilvl="0" w:tplc="083A1360">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3DE442B"/>
    <w:multiLevelType w:val="hybridMultilevel"/>
    <w:tmpl w:val="F49EFF1C"/>
    <w:lvl w:ilvl="0" w:tplc="A53EB3AE">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39676CA7"/>
    <w:multiLevelType w:val="hybridMultilevel"/>
    <w:tmpl w:val="2090C0BA"/>
    <w:lvl w:ilvl="0" w:tplc="29AACF00">
      <w:start w:val="1"/>
      <w:numFmt w:val="bullet"/>
      <w:lvlText w:val=""/>
      <w:lvlJc w:val="left"/>
      <w:pPr>
        <w:tabs>
          <w:tab w:val="num" w:pos="567"/>
        </w:tabs>
        <w:ind w:left="567"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435266DF"/>
    <w:multiLevelType w:val="singleLevel"/>
    <w:tmpl w:val="1C96EADC"/>
    <w:lvl w:ilvl="0">
      <w:start w:val="1"/>
      <w:numFmt w:val="bullet"/>
      <w:lvlText w:val="-"/>
      <w:lvlJc w:val="left"/>
      <w:pPr>
        <w:tabs>
          <w:tab w:val="num" w:pos="709"/>
        </w:tabs>
        <w:ind w:left="709" w:hanging="709"/>
      </w:pPr>
    </w:lvl>
  </w:abstractNum>
  <w:abstractNum w:abstractNumId="7">
    <w:nsid w:val="4FDB5C92"/>
    <w:multiLevelType w:val="hybridMultilevel"/>
    <w:tmpl w:val="0502821E"/>
    <w:lvl w:ilvl="0" w:tplc="52B0C0CC">
      <w:start w:val="1"/>
      <w:numFmt w:val="decimal"/>
      <w:pStyle w:val="Fundstelle"/>
      <w:lvlText w:val="%1."/>
      <w:lvlJc w:val="left"/>
      <w:pPr>
        <w:tabs>
          <w:tab w:val="num" w:pos="720"/>
        </w:tabs>
        <w:ind w:left="72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5955632F"/>
    <w:multiLevelType w:val="hybridMultilevel"/>
    <w:tmpl w:val="4D5C24F4"/>
    <w:lvl w:ilvl="0" w:tplc="EE085756">
      <w:start w:val="1"/>
      <w:numFmt w:val="bullet"/>
      <w:pStyle w:val="Verzeichnis1"/>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74AD6325"/>
    <w:multiLevelType w:val="hybridMultilevel"/>
    <w:tmpl w:val="9B1276F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nsid w:val="7DC968A8"/>
    <w:multiLevelType w:val="hybridMultilevel"/>
    <w:tmpl w:val="976EC0D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8"/>
  </w:num>
  <w:num w:numId="5">
    <w:abstractNumId w:val="6"/>
  </w:num>
  <w:num w:numId="6">
    <w:abstractNumId w:val="5"/>
  </w:num>
  <w:num w:numId="7">
    <w:abstractNumId w:val="3"/>
  </w:num>
  <w:num w:numId="8">
    <w:abstractNumId w:val="7"/>
  </w:num>
  <w:num w:numId="9">
    <w:abstractNumId w:val="4"/>
  </w:num>
  <w:num w:numId="10">
    <w:abstractNumId w:val="9"/>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autoHyphenation/>
  <w:hyphenationZone w:val="8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1">
      <o:colormru v:ext="edit" colors="#b2b2b2,#ddd"/>
    </o:shapedefaults>
    <o:shapelayout v:ext="edit">
      <o:idmap v:ext="edit" data="2"/>
    </o:shapelayout>
  </w:hdrShapeDefaults>
  <w:footnotePr>
    <w:numRestart w:val="eachSect"/>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434A"/>
    <w:rsid w:val="00024420"/>
    <w:rsid w:val="0002711B"/>
    <w:rsid w:val="00031816"/>
    <w:rsid w:val="00034226"/>
    <w:rsid w:val="00040FE8"/>
    <w:rsid w:val="00042E55"/>
    <w:rsid w:val="00054866"/>
    <w:rsid w:val="0006452E"/>
    <w:rsid w:val="0007255F"/>
    <w:rsid w:val="00091BF3"/>
    <w:rsid w:val="000A0D25"/>
    <w:rsid w:val="000A5639"/>
    <w:rsid w:val="000A6578"/>
    <w:rsid w:val="000B1357"/>
    <w:rsid w:val="000C0A8F"/>
    <w:rsid w:val="000C4342"/>
    <w:rsid w:val="000C500B"/>
    <w:rsid w:val="000E3A34"/>
    <w:rsid w:val="000F1DD4"/>
    <w:rsid w:val="00103D07"/>
    <w:rsid w:val="00110630"/>
    <w:rsid w:val="0011078E"/>
    <w:rsid w:val="00114565"/>
    <w:rsid w:val="00114674"/>
    <w:rsid w:val="00122810"/>
    <w:rsid w:val="00154B3C"/>
    <w:rsid w:val="0015636D"/>
    <w:rsid w:val="00156B44"/>
    <w:rsid w:val="00163A9C"/>
    <w:rsid w:val="0016520B"/>
    <w:rsid w:val="001715AA"/>
    <w:rsid w:val="00176DD1"/>
    <w:rsid w:val="001870DA"/>
    <w:rsid w:val="00187547"/>
    <w:rsid w:val="0019245E"/>
    <w:rsid w:val="001951EE"/>
    <w:rsid w:val="00197B9B"/>
    <w:rsid w:val="001A40A0"/>
    <w:rsid w:val="001B3E88"/>
    <w:rsid w:val="001B4BDD"/>
    <w:rsid w:val="001B6254"/>
    <w:rsid w:val="001C2EC7"/>
    <w:rsid w:val="001E242A"/>
    <w:rsid w:val="001E6D86"/>
    <w:rsid w:val="001F033C"/>
    <w:rsid w:val="00212AAC"/>
    <w:rsid w:val="00233778"/>
    <w:rsid w:val="00247FE7"/>
    <w:rsid w:val="002519B4"/>
    <w:rsid w:val="00254C81"/>
    <w:rsid w:val="00255035"/>
    <w:rsid w:val="002601D4"/>
    <w:rsid w:val="0026236F"/>
    <w:rsid w:val="002B52E0"/>
    <w:rsid w:val="002C0E16"/>
    <w:rsid w:val="002C5A18"/>
    <w:rsid w:val="002E13CC"/>
    <w:rsid w:val="0030265D"/>
    <w:rsid w:val="00310B9B"/>
    <w:rsid w:val="0032752A"/>
    <w:rsid w:val="003407DC"/>
    <w:rsid w:val="00341813"/>
    <w:rsid w:val="00343848"/>
    <w:rsid w:val="003447C0"/>
    <w:rsid w:val="00354843"/>
    <w:rsid w:val="003564AC"/>
    <w:rsid w:val="0035769F"/>
    <w:rsid w:val="003635C0"/>
    <w:rsid w:val="0037094E"/>
    <w:rsid w:val="00380DBE"/>
    <w:rsid w:val="00391E39"/>
    <w:rsid w:val="00396B7C"/>
    <w:rsid w:val="003975DE"/>
    <w:rsid w:val="003A16D5"/>
    <w:rsid w:val="003A332B"/>
    <w:rsid w:val="003A7B0B"/>
    <w:rsid w:val="003B1070"/>
    <w:rsid w:val="003B228C"/>
    <w:rsid w:val="003B3753"/>
    <w:rsid w:val="003C2C9B"/>
    <w:rsid w:val="003C323B"/>
    <w:rsid w:val="003E05B8"/>
    <w:rsid w:val="003E47DC"/>
    <w:rsid w:val="003F39FE"/>
    <w:rsid w:val="004013F0"/>
    <w:rsid w:val="00404E62"/>
    <w:rsid w:val="0040685A"/>
    <w:rsid w:val="0042023E"/>
    <w:rsid w:val="00421A7C"/>
    <w:rsid w:val="00440C2E"/>
    <w:rsid w:val="004574D1"/>
    <w:rsid w:val="00460FDB"/>
    <w:rsid w:val="00463354"/>
    <w:rsid w:val="00472C27"/>
    <w:rsid w:val="0047365A"/>
    <w:rsid w:val="00474D2A"/>
    <w:rsid w:val="004930AD"/>
    <w:rsid w:val="00496367"/>
    <w:rsid w:val="004A5D21"/>
    <w:rsid w:val="004B002A"/>
    <w:rsid w:val="004B3290"/>
    <w:rsid w:val="004B5C7A"/>
    <w:rsid w:val="004B7F67"/>
    <w:rsid w:val="004E3DC1"/>
    <w:rsid w:val="004F7EC4"/>
    <w:rsid w:val="0050264A"/>
    <w:rsid w:val="005033A1"/>
    <w:rsid w:val="00503F37"/>
    <w:rsid w:val="00510431"/>
    <w:rsid w:val="00510A04"/>
    <w:rsid w:val="00525E37"/>
    <w:rsid w:val="00526A52"/>
    <w:rsid w:val="00533205"/>
    <w:rsid w:val="00541352"/>
    <w:rsid w:val="00550B87"/>
    <w:rsid w:val="005559D7"/>
    <w:rsid w:val="00564B40"/>
    <w:rsid w:val="005654DD"/>
    <w:rsid w:val="0056591A"/>
    <w:rsid w:val="00592AF4"/>
    <w:rsid w:val="0059675F"/>
    <w:rsid w:val="005A34BA"/>
    <w:rsid w:val="005A434A"/>
    <w:rsid w:val="005B1FCA"/>
    <w:rsid w:val="005B332F"/>
    <w:rsid w:val="005C415F"/>
    <w:rsid w:val="005D2E91"/>
    <w:rsid w:val="005F21BA"/>
    <w:rsid w:val="0060111E"/>
    <w:rsid w:val="00601FCC"/>
    <w:rsid w:val="00617DA1"/>
    <w:rsid w:val="00624DE6"/>
    <w:rsid w:val="00625D11"/>
    <w:rsid w:val="00626647"/>
    <w:rsid w:val="006313F3"/>
    <w:rsid w:val="00634AFC"/>
    <w:rsid w:val="00634E25"/>
    <w:rsid w:val="00637502"/>
    <w:rsid w:val="0063787F"/>
    <w:rsid w:val="00647EE1"/>
    <w:rsid w:val="006523CF"/>
    <w:rsid w:val="006540F8"/>
    <w:rsid w:val="00655DE9"/>
    <w:rsid w:val="0065618E"/>
    <w:rsid w:val="0066036F"/>
    <w:rsid w:val="00663570"/>
    <w:rsid w:val="0066357B"/>
    <w:rsid w:val="0067274E"/>
    <w:rsid w:val="00675E00"/>
    <w:rsid w:val="00681DCD"/>
    <w:rsid w:val="006849CA"/>
    <w:rsid w:val="00694E20"/>
    <w:rsid w:val="00695602"/>
    <w:rsid w:val="006A38F0"/>
    <w:rsid w:val="006A3BF4"/>
    <w:rsid w:val="006B4DE0"/>
    <w:rsid w:val="006B6197"/>
    <w:rsid w:val="006C15EA"/>
    <w:rsid w:val="006E2545"/>
    <w:rsid w:val="006E7884"/>
    <w:rsid w:val="006F12A7"/>
    <w:rsid w:val="006F582E"/>
    <w:rsid w:val="007018BB"/>
    <w:rsid w:val="00703E54"/>
    <w:rsid w:val="00706D45"/>
    <w:rsid w:val="00714BF2"/>
    <w:rsid w:val="00715C30"/>
    <w:rsid w:val="00720E0D"/>
    <w:rsid w:val="007221D4"/>
    <w:rsid w:val="00727E21"/>
    <w:rsid w:val="00732885"/>
    <w:rsid w:val="00735901"/>
    <w:rsid w:val="007405D3"/>
    <w:rsid w:val="007567F8"/>
    <w:rsid w:val="00765948"/>
    <w:rsid w:val="00767062"/>
    <w:rsid w:val="00770967"/>
    <w:rsid w:val="00774F32"/>
    <w:rsid w:val="00786E08"/>
    <w:rsid w:val="00790155"/>
    <w:rsid w:val="007943CA"/>
    <w:rsid w:val="0079500C"/>
    <w:rsid w:val="007A3E69"/>
    <w:rsid w:val="007B3118"/>
    <w:rsid w:val="007B6333"/>
    <w:rsid w:val="007C0F87"/>
    <w:rsid w:val="007C6D13"/>
    <w:rsid w:val="007F2D2F"/>
    <w:rsid w:val="007F4B56"/>
    <w:rsid w:val="008012AC"/>
    <w:rsid w:val="00821150"/>
    <w:rsid w:val="00822B21"/>
    <w:rsid w:val="00824623"/>
    <w:rsid w:val="00824889"/>
    <w:rsid w:val="00836E69"/>
    <w:rsid w:val="00852655"/>
    <w:rsid w:val="00855885"/>
    <w:rsid w:val="008578C4"/>
    <w:rsid w:val="008657F6"/>
    <w:rsid w:val="008808F5"/>
    <w:rsid w:val="008845D6"/>
    <w:rsid w:val="0089513B"/>
    <w:rsid w:val="008A0FE3"/>
    <w:rsid w:val="008B445B"/>
    <w:rsid w:val="008B4B49"/>
    <w:rsid w:val="008C108F"/>
    <w:rsid w:val="008C3D7C"/>
    <w:rsid w:val="008C5D99"/>
    <w:rsid w:val="008C715D"/>
    <w:rsid w:val="008D1FDF"/>
    <w:rsid w:val="008D7E67"/>
    <w:rsid w:val="008E54DF"/>
    <w:rsid w:val="008E6369"/>
    <w:rsid w:val="008F173C"/>
    <w:rsid w:val="008F2008"/>
    <w:rsid w:val="008F47BE"/>
    <w:rsid w:val="008F4D6F"/>
    <w:rsid w:val="008F72FB"/>
    <w:rsid w:val="00907120"/>
    <w:rsid w:val="0091347A"/>
    <w:rsid w:val="00913C3A"/>
    <w:rsid w:val="009215AB"/>
    <w:rsid w:val="0094521F"/>
    <w:rsid w:val="00957D0C"/>
    <w:rsid w:val="009622C5"/>
    <w:rsid w:val="00966E5E"/>
    <w:rsid w:val="00977A94"/>
    <w:rsid w:val="00982098"/>
    <w:rsid w:val="00995E72"/>
    <w:rsid w:val="009A3B84"/>
    <w:rsid w:val="009A7968"/>
    <w:rsid w:val="009B2B96"/>
    <w:rsid w:val="009B516A"/>
    <w:rsid w:val="009B7829"/>
    <w:rsid w:val="009D1954"/>
    <w:rsid w:val="009D1D79"/>
    <w:rsid w:val="009E3C53"/>
    <w:rsid w:val="009F3A29"/>
    <w:rsid w:val="00A0127B"/>
    <w:rsid w:val="00A02005"/>
    <w:rsid w:val="00A058A8"/>
    <w:rsid w:val="00A101BE"/>
    <w:rsid w:val="00A11265"/>
    <w:rsid w:val="00A13617"/>
    <w:rsid w:val="00A156FE"/>
    <w:rsid w:val="00A318D6"/>
    <w:rsid w:val="00A36724"/>
    <w:rsid w:val="00A3740F"/>
    <w:rsid w:val="00A4193E"/>
    <w:rsid w:val="00A43219"/>
    <w:rsid w:val="00A653CC"/>
    <w:rsid w:val="00A65B91"/>
    <w:rsid w:val="00A73EF9"/>
    <w:rsid w:val="00A8648B"/>
    <w:rsid w:val="00A97F44"/>
    <w:rsid w:val="00AC05D0"/>
    <w:rsid w:val="00AC62FF"/>
    <w:rsid w:val="00AC645E"/>
    <w:rsid w:val="00AD3220"/>
    <w:rsid w:val="00AD7AE2"/>
    <w:rsid w:val="00AE17F2"/>
    <w:rsid w:val="00AF69EC"/>
    <w:rsid w:val="00B000E3"/>
    <w:rsid w:val="00B02E3C"/>
    <w:rsid w:val="00B1424A"/>
    <w:rsid w:val="00B14536"/>
    <w:rsid w:val="00B1475C"/>
    <w:rsid w:val="00B1738A"/>
    <w:rsid w:val="00B21FDF"/>
    <w:rsid w:val="00B3075F"/>
    <w:rsid w:val="00B33C93"/>
    <w:rsid w:val="00B37171"/>
    <w:rsid w:val="00B378D3"/>
    <w:rsid w:val="00B52EC1"/>
    <w:rsid w:val="00B54AF4"/>
    <w:rsid w:val="00B724DA"/>
    <w:rsid w:val="00B75719"/>
    <w:rsid w:val="00B80353"/>
    <w:rsid w:val="00B9234C"/>
    <w:rsid w:val="00B95932"/>
    <w:rsid w:val="00BA138A"/>
    <w:rsid w:val="00BA27FF"/>
    <w:rsid w:val="00BE1449"/>
    <w:rsid w:val="00BE1C55"/>
    <w:rsid w:val="00BE31C5"/>
    <w:rsid w:val="00BF3682"/>
    <w:rsid w:val="00C07DA7"/>
    <w:rsid w:val="00C21A51"/>
    <w:rsid w:val="00C22ACF"/>
    <w:rsid w:val="00C252B1"/>
    <w:rsid w:val="00C333DE"/>
    <w:rsid w:val="00C6454D"/>
    <w:rsid w:val="00C64CAD"/>
    <w:rsid w:val="00C73662"/>
    <w:rsid w:val="00C74757"/>
    <w:rsid w:val="00C7774E"/>
    <w:rsid w:val="00C82BB3"/>
    <w:rsid w:val="00C8658C"/>
    <w:rsid w:val="00C952A7"/>
    <w:rsid w:val="00C977C8"/>
    <w:rsid w:val="00CA3115"/>
    <w:rsid w:val="00CA4113"/>
    <w:rsid w:val="00CA5DE1"/>
    <w:rsid w:val="00CB0397"/>
    <w:rsid w:val="00CB4D3F"/>
    <w:rsid w:val="00CB704F"/>
    <w:rsid w:val="00CC4564"/>
    <w:rsid w:val="00CC766F"/>
    <w:rsid w:val="00CD7926"/>
    <w:rsid w:val="00CE2831"/>
    <w:rsid w:val="00CE32B8"/>
    <w:rsid w:val="00CF0DB3"/>
    <w:rsid w:val="00CF7D40"/>
    <w:rsid w:val="00D022FC"/>
    <w:rsid w:val="00D04974"/>
    <w:rsid w:val="00D06B1E"/>
    <w:rsid w:val="00D10805"/>
    <w:rsid w:val="00D20428"/>
    <w:rsid w:val="00D24518"/>
    <w:rsid w:val="00D365CD"/>
    <w:rsid w:val="00D45592"/>
    <w:rsid w:val="00D52519"/>
    <w:rsid w:val="00D54127"/>
    <w:rsid w:val="00D6227C"/>
    <w:rsid w:val="00D712AA"/>
    <w:rsid w:val="00D71A0B"/>
    <w:rsid w:val="00D727E1"/>
    <w:rsid w:val="00D772A2"/>
    <w:rsid w:val="00D94A15"/>
    <w:rsid w:val="00DA185B"/>
    <w:rsid w:val="00DB6459"/>
    <w:rsid w:val="00DC6946"/>
    <w:rsid w:val="00DC72FF"/>
    <w:rsid w:val="00DD0E4A"/>
    <w:rsid w:val="00DD2B45"/>
    <w:rsid w:val="00DE1F5F"/>
    <w:rsid w:val="00DF1818"/>
    <w:rsid w:val="00DF3012"/>
    <w:rsid w:val="00DF3812"/>
    <w:rsid w:val="00E01815"/>
    <w:rsid w:val="00E04742"/>
    <w:rsid w:val="00E0486B"/>
    <w:rsid w:val="00E11F52"/>
    <w:rsid w:val="00E25C6C"/>
    <w:rsid w:val="00E31954"/>
    <w:rsid w:val="00E4401F"/>
    <w:rsid w:val="00E47FBD"/>
    <w:rsid w:val="00E53D39"/>
    <w:rsid w:val="00E5583E"/>
    <w:rsid w:val="00E607E4"/>
    <w:rsid w:val="00E67798"/>
    <w:rsid w:val="00E72D13"/>
    <w:rsid w:val="00E763A7"/>
    <w:rsid w:val="00E77524"/>
    <w:rsid w:val="00E83C2D"/>
    <w:rsid w:val="00E87011"/>
    <w:rsid w:val="00EB37C3"/>
    <w:rsid w:val="00EB7484"/>
    <w:rsid w:val="00EC41C9"/>
    <w:rsid w:val="00EC756D"/>
    <w:rsid w:val="00ED18E8"/>
    <w:rsid w:val="00EE23F5"/>
    <w:rsid w:val="00EE417E"/>
    <w:rsid w:val="00EF085F"/>
    <w:rsid w:val="00EF42FB"/>
    <w:rsid w:val="00EF6A8F"/>
    <w:rsid w:val="00F2361D"/>
    <w:rsid w:val="00F276E7"/>
    <w:rsid w:val="00F622E4"/>
    <w:rsid w:val="00F91FB1"/>
    <w:rsid w:val="00F9436C"/>
    <w:rsid w:val="00F97768"/>
    <w:rsid w:val="00FA7EAF"/>
    <w:rsid w:val="00FB02E0"/>
    <w:rsid w:val="00FD6C18"/>
    <w:rsid w:val="00FE1235"/>
    <w:rsid w:val="00FE7BCF"/>
    <w:rsid w:val="00FE7BD0"/>
  </w:rsids>
  <m:mathPr>
    <m:mathFont m:val="Cambria Math"/>
    <m:brkBin m:val="before"/>
    <m:brkBinSub m:val="--"/>
    <m:smallFrac m:val="0"/>
    <m:dispDef/>
    <m:lMargin m:val="0"/>
    <m:rMargin m:val="0"/>
    <m:defJc m:val="centerGroup"/>
    <m:wrapIndent m:val="1440"/>
    <m:intLim m:val="subSup"/>
    <m:naryLim m:val="undOvr"/>
  </m:mathPr>
  <w:attachedSchema w:val="http://www.linkwerk.com/namespaces/xslt/misc"/>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colormru v:ext="edit" colors="#b2b2b2,#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A058A8"/>
    <w:pPr>
      <w:widowControl w:val="0"/>
      <w:tabs>
        <w:tab w:val="left" w:pos="1152"/>
        <w:tab w:val="left" w:pos="2448"/>
        <w:tab w:val="right" w:pos="8496"/>
      </w:tabs>
      <w:overflowPunct w:val="0"/>
      <w:autoSpaceDE w:val="0"/>
      <w:autoSpaceDN w:val="0"/>
      <w:adjustRightInd w:val="0"/>
      <w:spacing w:after="160" w:line="240" w:lineRule="exact"/>
      <w:jc w:val="both"/>
      <w:textAlignment w:val="baseline"/>
    </w:pPr>
    <w:rPr>
      <w:sz w:val="22"/>
    </w:rPr>
  </w:style>
  <w:style w:type="paragraph" w:styleId="berschrift1">
    <w:name w:val="heading 1"/>
    <w:basedOn w:val="Standard"/>
    <w:next w:val="Standard"/>
    <w:link w:val="berschrift1Zchn"/>
    <w:qFormat/>
    <w:rsid w:val="00A058A8"/>
    <w:pPr>
      <w:keepNext/>
      <w:tabs>
        <w:tab w:val="clear" w:pos="1152"/>
        <w:tab w:val="clear" w:pos="2448"/>
        <w:tab w:val="clear" w:pos="8496"/>
        <w:tab w:val="left" w:pos="714"/>
      </w:tabs>
      <w:spacing w:before="120" w:after="120" w:line="250" w:lineRule="exact"/>
      <w:jc w:val="left"/>
      <w:outlineLvl w:val="0"/>
    </w:pPr>
    <w:rPr>
      <w:rFonts w:ascii="Arial" w:hAnsi="Arial"/>
      <w:b/>
      <w:kern w:val="28"/>
      <w:sz w:val="23"/>
    </w:rPr>
  </w:style>
  <w:style w:type="paragraph" w:styleId="berschrift2">
    <w:name w:val="heading 2"/>
    <w:basedOn w:val="Standard"/>
    <w:next w:val="Standard"/>
    <w:link w:val="berschrift2Zchn"/>
    <w:qFormat/>
    <w:rsid w:val="00A058A8"/>
    <w:pPr>
      <w:tabs>
        <w:tab w:val="clear" w:pos="1152"/>
        <w:tab w:val="clear" w:pos="2448"/>
        <w:tab w:val="clear" w:pos="8496"/>
        <w:tab w:val="right" w:pos="4366"/>
      </w:tabs>
      <w:spacing w:before="400" w:after="120" w:line="210" w:lineRule="exact"/>
      <w:outlineLvl w:val="1"/>
    </w:pPr>
    <w:rPr>
      <w:rFonts w:ascii="Arial" w:hAnsi="Arial"/>
      <w:sz w:val="19"/>
      <w:u w:val="single"/>
    </w:rPr>
  </w:style>
  <w:style w:type="paragraph" w:styleId="berschrift3">
    <w:name w:val="heading 3"/>
    <w:basedOn w:val="Standard"/>
    <w:next w:val="Standardeinzug"/>
    <w:qFormat/>
    <w:rsid w:val="00A058A8"/>
    <w:pPr>
      <w:ind w:left="354"/>
      <w:outlineLvl w:val="2"/>
    </w:pPr>
    <w:rPr>
      <w:b/>
    </w:rPr>
  </w:style>
  <w:style w:type="paragraph" w:styleId="berschrift4">
    <w:name w:val="heading 4"/>
    <w:basedOn w:val="Standard"/>
    <w:next w:val="Standardeinzug"/>
    <w:qFormat/>
    <w:rsid w:val="00A058A8"/>
    <w:pPr>
      <w:ind w:left="354"/>
      <w:outlineLvl w:val="3"/>
    </w:pPr>
    <w:rPr>
      <w:u w:val="single"/>
    </w:rPr>
  </w:style>
  <w:style w:type="paragraph" w:styleId="berschrift5">
    <w:name w:val="heading 5"/>
    <w:basedOn w:val="Standard"/>
    <w:next w:val="Standard"/>
    <w:qFormat/>
    <w:rsid w:val="00A058A8"/>
    <w:pPr>
      <w:keepNext/>
      <w:spacing w:after="116"/>
      <w:jc w:val="right"/>
      <w:outlineLvl w:val="4"/>
    </w:pPr>
    <w:rPr>
      <w:b/>
    </w:rPr>
  </w:style>
  <w:style w:type="paragraph" w:styleId="berschrift6">
    <w:name w:val="heading 6"/>
    <w:basedOn w:val="Standard"/>
    <w:next w:val="Standard"/>
    <w:qFormat/>
    <w:rsid w:val="00A058A8"/>
    <w:pPr>
      <w:tabs>
        <w:tab w:val="clear" w:pos="1152"/>
        <w:tab w:val="clear" w:pos="2448"/>
        <w:tab w:val="clear" w:pos="8496"/>
      </w:tabs>
      <w:spacing w:before="240" w:after="60"/>
      <w:outlineLvl w:val="5"/>
    </w:pPr>
    <w:rPr>
      <w:rFonts w:ascii="Arial" w:hAnsi="Arial"/>
      <w:i/>
    </w:rPr>
  </w:style>
  <w:style w:type="paragraph" w:styleId="berschrift7">
    <w:name w:val="heading 7"/>
    <w:basedOn w:val="Standard"/>
    <w:next w:val="Standard"/>
    <w:qFormat/>
    <w:rsid w:val="00A058A8"/>
    <w:pPr>
      <w:tabs>
        <w:tab w:val="clear" w:pos="1152"/>
        <w:tab w:val="clear" w:pos="2448"/>
        <w:tab w:val="clear" w:pos="8496"/>
      </w:tabs>
      <w:spacing w:before="240" w:after="60"/>
      <w:outlineLvl w:val="6"/>
    </w:pPr>
    <w:rPr>
      <w:rFonts w:ascii="Arial" w:hAnsi="Arial"/>
      <w:sz w:val="20"/>
    </w:rPr>
  </w:style>
  <w:style w:type="paragraph" w:styleId="berschrift8">
    <w:name w:val="heading 8"/>
    <w:basedOn w:val="Standard"/>
    <w:next w:val="Standard"/>
    <w:qFormat/>
    <w:rsid w:val="00A058A8"/>
    <w:pPr>
      <w:tabs>
        <w:tab w:val="clear" w:pos="1152"/>
        <w:tab w:val="clear" w:pos="2448"/>
        <w:tab w:val="clear" w:pos="8496"/>
      </w:tabs>
      <w:spacing w:before="240" w:after="60"/>
      <w:outlineLvl w:val="7"/>
    </w:pPr>
    <w:rPr>
      <w:rFonts w:ascii="Arial" w:hAnsi="Arial"/>
      <w:i/>
      <w:sz w:val="20"/>
    </w:rPr>
  </w:style>
  <w:style w:type="paragraph" w:styleId="berschrift9">
    <w:name w:val="heading 9"/>
    <w:basedOn w:val="Standard"/>
    <w:next w:val="Standard"/>
    <w:qFormat/>
    <w:rsid w:val="00A058A8"/>
    <w:pPr>
      <w:tabs>
        <w:tab w:val="clear" w:pos="1152"/>
        <w:tab w:val="clear" w:pos="2448"/>
        <w:tab w:val="clear" w:pos="8496"/>
      </w:tabs>
      <w:spacing w:before="240" w:after="60"/>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rsid w:val="00A058A8"/>
    <w:pPr>
      <w:tabs>
        <w:tab w:val="clear" w:pos="1152"/>
        <w:tab w:val="clear" w:pos="2448"/>
        <w:tab w:val="clear" w:pos="8496"/>
        <w:tab w:val="left" w:pos="567"/>
      </w:tabs>
      <w:ind w:left="567" w:hanging="567"/>
    </w:pPr>
  </w:style>
  <w:style w:type="paragraph" w:customStyle="1" w:styleId="berschrift">
    <w:name w:val="Überschrift"/>
    <w:rsid w:val="00A058A8"/>
    <w:pPr>
      <w:widowControl w:val="0"/>
      <w:tabs>
        <w:tab w:val="left" w:pos="714"/>
      </w:tabs>
      <w:overflowPunct w:val="0"/>
      <w:autoSpaceDE w:val="0"/>
      <w:autoSpaceDN w:val="0"/>
      <w:adjustRightInd w:val="0"/>
      <w:spacing w:after="120" w:line="250" w:lineRule="exact"/>
      <w:textAlignment w:val="baseline"/>
    </w:pPr>
    <w:rPr>
      <w:rFonts w:ascii="Arial" w:hAnsi="Arial"/>
      <w:b/>
      <w:sz w:val="23"/>
    </w:rPr>
  </w:style>
  <w:style w:type="paragraph" w:styleId="Verzeichnis1">
    <w:name w:val="toc 1"/>
    <w:basedOn w:val="Standard"/>
    <w:next w:val="Standard"/>
    <w:semiHidden/>
    <w:rsid w:val="00A058A8"/>
    <w:pPr>
      <w:numPr>
        <w:numId w:val="4"/>
      </w:numPr>
      <w:tabs>
        <w:tab w:val="clear" w:pos="1152"/>
        <w:tab w:val="clear" w:pos="2448"/>
        <w:tab w:val="clear" w:pos="8496"/>
        <w:tab w:val="left" w:pos="567"/>
        <w:tab w:val="right" w:leader="dot" w:pos="4253"/>
      </w:tabs>
      <w:spacing w:after="40" w:line="180" w:lineRule="exact"/>
      <w:ind w:left="357" w:hanging="357"/>
      <w:jc w:val="left"/>
    </w:pPr>
    <w:rPr>
      <w:rFonts w:ascii="Arial" w:hAnsi="Arial"/>
      <w:sz w:val="16"/>
    </w:rPr>
  </w:style>
  <w:style w:type="paragraph" w:customStyle="1" w:styleId="Aufzhlung">
    <w:name w:val="Aufzählung"/>
    <w:basedOn w:val="Standardeinzug"/>
    <w:link w:val="AufzhlungChar"/>
    <w:rsid w:val="00A058A8"/>
    <w:pPr>
      <w:numPr>
        <w:numId w:val="3"/>
      </w:numPr>
      <w:tabs>
        <w:tab w:val="clear" w:pos="360"/>
        <w:tab w:val="clear" w:pos="567"/>
        <w:tab w:val="left" w:pos="284"/>
      </w:tabs>
      <w:ind w:left="284" w:hanging="284"/>
    </w:pPr>
  </w:style>
  <w:style w:type="paragraph" w:styleId="Verzeichnis2">
    <w:name w:val="toc 2"/>
    <w:basedOn w:val="Standard"/>
    <w:next w:val="Standard"/>
    <w:autoRedefine/>
    <w:semiHidden/>
    <w:rsid w:val="00A058A8"/>
    <w:pPr>
      <w:tabs>
        <w:tab w:val="clear" w:pos="1152"/>
        <w:tab w:val="clear" w:pos="2448"/>
        <w:tab w:val="clear" w:pos="8496"/>
      </w:tabs>
      <w:ind w:left="220"/>
    </w:pPr>
  </w:style>
  <w:style w:type="paragraph" w:styleId="Verzeichnis3">
    <w:name w:val="toc 3"/>
    <w:basedOn w:val="Standard"/>
    <w:next w:val="Standard"/>
    <w:autoRedefine/>
    <w:semiHidden/>
    <w:rsid w:val="00A058A8"/>
    <w:pPr>
      <w:tabs>
        <w:tab w:val="clear" w:pos="1152"/>
        <w:tab w:val="clear" w:pos="2448"/>
        <w:tab w:val="clear" w:pos="8496"/>
      </w:tabs>
      <w:ind w:left="440"/>
    </w:pPr>
  </w:style>
  <w:style w:type="paragraph" w:styleId="Verzeichnis4">
    <w:name w:val="toc 4"/>
    <w:basedOn w:val="Standard"/>
    <w:next w:val="Standard"/>
    <w:autoRedefine/>
    <w:semiHidden/>
    <w:rsid w:val="00A058A8"/>
    <w:pPr>
      <w:tabs>
        <w:tab w:val="clear" w:pos="1152"/>
        <w:tab w:val="clear" w:pos="2448"/>
        <w:tab w:val="clear" w:pos="8496"/>
      </w:tabs>
      <w:ind w:left="660"/>
    </w:pPr>
  </w:style>
  <w:style w:type="paragraph" w:styleId="Verzeichnis5">
    <w:name w:val="toc 5"/>
    <w:basedOn w:val="Standard"/>
    <w:next w:val="Standard"/>
    <w:autoRedefine/>
    <w:semiHidden/>
    <w:rsid w:val="00A058A8"/>
    <w:pPr>
      <w:tabs>
        <w:tab w:val="clear" w:pos="1152"/>
        <w:tab w:val="clear" w:pos="2448"/>
        <w:tab w:val="clear" w:pos="8496"/>
      </w:tabs>
      <w:ind w:left="880"/>
    </w:pPr>
  </w:style>
  <w:style w:type="paragraph" w:styleId="Verzeichnis6">
    <w:name w:val="toc 6"/>
    <w:basedOn w:val="Standard"/>
    <w:next w:val="Standard"/>
    <w:autoRedefine/>
    <w:semiHidden/>
    <w:rsid w:val="00A058A8"/>
    <w:pPr>
      <w:tabs>
        <w:tab w:val="clear" w:pos="1152"/>
        <w:tab w:val="clear" w:pos="2448"/>
        <w:tab w:val="clear" w:pos="8496"/>
      </w:tabs>
      <w:ind w:left="1100"/>
    </w:pPr>
  </w:style>
  <w:style w:type="paragraph" w:styleId="Verzeichnis7">
    <w:name w:val="toc 7"/>
    <w:basedOn w:val="Standard"/>
    <w:next w:val="Standard"/>
    <w:autoRedefine/>
    <w:semiHidden/>
    <w:rsid w:val="00A058A8"/>
    <w:pPr>
      <w:tabs>
        <w:tab w:val="clear" w:pos="1152"/>
        <w:tab w:val="clear" w:pos="2448"/>
        <w:tab w:val="clear" w:pos="8496"/>
      </w:tabs>
      <w:ind w:left="1320"/>
    </w:pPr>
  </w:style>
  <w:style w:type="paragraph" w:styleId="Verzeichnis8">
    <w:name w:val="toc 8"/>
    <w:basedOn w:val="Standard"/>
    <w:next w:val="Standard"/>
    <w:autoRedefine/>
    <w:semiHidden/>
    <w:rsid w:val="00A058A8"/>
    <w:pPr>
      <w:tabs>
        <w:tab w:val="clear" w:pos="1152"/>
        <w:tab w:val="clear" w:pos="2448"/>
        <w:tab w:val="clear" w:pos="8496"/>
      </w:tabs>
      <w:ind w:left="1540"/>
    </w:pPr>
  </w:style>
  <w:style w:type="paragraph" w:styleId="Verzeichnis9">
    <w:name w:val="toc 9"/>
    <w:basedOn w:val="Standard"/>
    <w:next w:val="Standard"/>
    <w:autoRedefine/>
    <w:semiHidden/>
    <w:rsid w:val="00A058A8"/>
    <w:pPr>
      <w:tabs>
        <w:tab w:val="clear" w:pos="1152"/>
        <w:tab w:val="clear" w:pos="2448"/>
        <w:tab w:val="clear" w:pos="8496"/>
      </w:tabs>
      <w:ind w:left="1760"/>
    </w:pPr>
  </w:style>
  <w:style w:type="paragraph" w:styleId="Fuzeile">
    <w:name w:val="footer"/>
    <w:basedOn w:val="Standard"/>
    <w:rsid w:val="00A058A8"/>
    <w:pPr>
      <w:tabs>
        <w:tab w:val="clear" w:pos="1152"/>
        <w:tab w:val="clear" w:pos="2448"/>
        <w:tab w:val="clear" w:pos="8496"/>
        <w:tab w:val="center" w:pos="4536"/>
        <w:tab w:val="right" w:pos="9072"/>
      </w:tabs>
    </w:pPr>
  </w:style>
  <w:style w:type="character" w:styleId="Hyperlink">
    <w:name w:val="Hyperlink"/>
    <w:rsid w:val="00A058A8"/>
    <w:rPr>
      <w:color w:val="0000FF"/>
      <w:u w:val="single"/>
    </w:rPr>
  </w:style>
  <w:style w:type="character" w:customStyle="1" w:styleId="AufzhlungChar">
    <w:name w:val="Aufzählung Char"/>
    <w:link w:val="Aufzhlung"/>
    <w:rsid w:val="00472C27"/>
    <w:rPr>
      <w:sz w:val="22"/>
      <w:lang w:val="de-DE" w:eastAsia="de-DE" w:bidi="ar-SA"/>
    </w:rPr>
  </w:style>
  <w:style w:type="paragraph" w:customStyle="1" w:styleId="Fundstelle">
    <w:name w:val="Fundstelle"/>
    <w:basedOn w:val="Standard"/>
    <w:link w:val="FundstelleZchn"/>
    <w:rsid w:val="00122810"/>
    <w:pPr>
      <w:widowControl/>
      <w:numPr>
        <w:numId w:val="8"/>
      </w:numPr>
      <w:tabs>
        <w:tab w:val="clear" w:pos="1152"/>
        <w:tab w:val="clear" w:pos="2448"/>
        <w:tab w:val="clear" w:pos="8496"/>
        <w:tab w:val="right" w:pos="8505"/>
      </w:tabs>
      <w:overflowPunct/>
      <w:autoSpaceDE/>
      <w:autoSpaceDN/>
      <w:adjustRightInd/>
      <w:spacing w:after="120" w:line="260" w:lineRule="exact"/>
      <w:jc w:val="left"/>
      <w:textAlignment w:val="auto"/>
    </w:pPr>
    <w:rPr>
      <w:rFonts w:ascii="Arial" w:hAnsi="Arial"/>
      <w:sz w:val="24"/>
    </w:rPr>
  </w:style>
  <w:style w:type="character" w:customStyle="1" w:styleId="FundstelleZchn">
    <w:name w:val="Fundstelle Zchn"/>
    <w:link w:val="Fundstelle"/>
    <w:rsid w:val="00122810"/>
    <w:rPr>
      <w:rFonts w:ascii="Arial" w:hAnsi="Arial"/>
      <w:sz w:val="24"/>
      <w:lang w:val="de-DE" w:eastAsia="de-DE" w:bidi="ar-SA"/>
    </w:rPr>
  </w:style>
  <w:style w:type="paragraph" w:customStyle="1" w:styleId="Impressum">
    <w:name w:val="Impressum"/>
    <w:basedOn w:val="Standard"/>
    <w:rsid w:val="00343848"/>
    <w:pPr>
      <w:spacing w:after="0" w:line="170" w:lineRule="exact"/>
    </w:pPr>
    <w:rPr>
      <w:rFonts w:ascii="Arial" w:hAnsi="Arial"/>
      <w:sz w:val="16"/>
    </w:rPr>
  </w:style>
  <w:style w:type="character" w:customStyle="1" w:styleId="AufzhlungZchn">
    <w:name w:val="Aufzählung Zchn"/>
    <w:locked/>
    <w:rsid w:val="005C415F"/>
    <w:rPr>
      <w:sz w:val="22"/>
      <w:lang w:val="de-DE" w:eastAsia="de-DE" w:bidi="ar-SA"/>
    </w:rPr>
  </w:style>
  <w:style w:type="paragraph" w:styleId="Sprechblasentext">
    <w:name w:val="Balloon Text"/>
    <w:basedOn w:val="Standard"/>
    <w:semiHidden/>
    <w:rsid w:val="00637502"/>
    <w:rPr>
      <w:rFonts w:ascii="Tahoma" w:hAnsi="Tahoma" w:cs="Tahoma"/>
      <w:sz w:val="16"/>
      <w:szCs w:val="16"/>
    </w:rPr>
  </w:style>
  <w:style w:type="character" w:styleId="Kommentarzeichen">
    <w:name w:val="annotation reference"/>
    <w:semiHidden/>
    <w:rsid w:val="00B9234C"/>
    <w:rPr>
      <w:sz w:val="16"/>
      <w:szCs w:val="16"/>
    </w:rPr>
  </w:style>
  <w:style w:type="paragraph" w:styleId="Kommentartext">
    <w:name w:val="annotation text"/>
    <w:basedOn w:val="Standard"/>
    <w:semiHidden/>
    <w:rsid w:val="00B9234C"/>
    <w:rPr>
      <w:sz w:val="20"/>
    </w:rPr>
  </w:style>
  <w:style w:type="paragraph" w:styleId="Kommentarthema">
    <w:name w:val="annotation subject"/>
    <w:basedOn w:val="Kommentartext"/>
    <w:next w:val="Kommentartext"/>
    <w:semiHidden/>
    <w:rsid w:val="00B9234C"/>
    <w:rPr>
      <w:b/>
      <w:bCs/>
    </w:rPr>
  </w:style>
  <w:style w:type="character" w:styleId="Fett">
    <w:name w:val="Strong"/>
    <w:qFormat/>
    <w:rsid w:val="00E5583E"/>
    <w:rPr>
      <w:b/>
      <w:bCs/>
    </w:rPr>
  </w:style>
  <w:style w:type="character" w:customStyle="1" w:styleId="berschrift2Zchn">
    <w:name w:val="Überschrift 2 Zchn"/>
    <w:link w:val="berschrift2"/>
    <w:rsid w:val="00E5583E"/>
    <w:rPr>
      <w:rFonts w:ascii="Arial" w:hAnsi="Arial"/>
      <w:sz w:val="19"/>
      <w:u w:val="single"/>
      <w:lang w:val="de-DE" w:eastAsia="de-DE" w:bidi="ar-SA"/>
    </w:rPr>
  </w:style>
  <w:style w:type="character" w:customStyle="1" w:styleId="berschrift1Zchn">
    <w:name w:val="Überschrift 1 Zchn"/>
    <w:link w:val="berschrift1"/>
    <w:rsid w:val="009B2B96"/>
    <w:rPr>
      <w:rFonts w:ascii="Arial" w:hAnsi="Arial"/>
      <w:b/>
      <w:kern w:val="28"/>
      <w:sz w:val="23"/>
    </w:rPr>
  </w:style>
  <w:style w:type="character" w:customStyle="1" w:styleId="searchword">
    <w:name w:val="searchword"/>
    <w:rsid w:val="009B2B96"/>
  </w:style>
  <w:style w:type="character" w:customStyle="1" w:styleId="txtaenderung">
    <w:name w:val="txt_aenderung"/>
    <w:rsid w:val="006E2545"/>
  </w:style>
  <w:style w:type="character" w:styleId="HTMLAkronym">
    <w:name w:val="HTML Acronym"/>
    <w:uiPriority w:val="99"/>
    <w:unhideWhenUsed/>
    <w:rsid w:val="00A43219"/>
  </w:style>
  <w:style w:type="paragraph" w:styleId="berarbeitung">
    <w:name w:val="Revision"/>
    <w:hidden/>
    <w:uiPriority w:val="99"/>
    <w:semiHidden/>
    <w:rsid w:val="009A3B84"/>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0837809">
      <w:bodyDiv w:val="1"/>
      <w:marLeft w:val="0"/>
      <w:marRight w:val="0"/>
      <w:marTop w:val="0"/>
      <w:marBottom w:val="0"/>
      <w:divBdr>
        <w:top w:val="none" w:sz="0" w:space="0" w:color="auto"/>
        <w:left w:val="none" w:sz="0" w:space="0" w:color="auto"/>
        <w:bottom w:val="none" w:sz="0" w:space="0" w:color="auto"/>
        <w:right w:val="none" w:sz="0" w:space="0" w:color="auto"/>
      </w:divBdr>
    </w:div>
    <w:div w:id="1218709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0C40B-81D7-4B2F-A797-1A04EC3F8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2064</Words>
  <Characters>13007</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Sehr geehrte Mandantin,</vt:lpstr>
    </vt:vector>
  </TitlesOfParts>
  <Company>Peter Deubner Verlag</Company>
  <LinksUpToDate>false</LinksUpToDate>
  <CharactersWithSpaces>15041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Sehr geehrte Mandantin,</dc:title>
  <dc:creator>Axel Kaiser</dc:creator>
  <cp:lastModifiedBy>Sabine Himmelberg</cp:lastModifiedBy>
  <cp:revision>4</cp:revision>
  <cp:lastPrinted>2022-12-09T12:00:00Z</cp:lastPrinted>
  <dcterms:created xsi:type="dcterms:W3CDTF">2022-12-09T12:00:00Z</dcterms:created>
  <dcterms:modified xsi:type="dcterms:W3CDTF">2022-12-09T12:01:00Z</dcterms:modified>
</cp:coreProperties>
</file>